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7E92D8D"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B80628">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27DB273F"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B80628">
        <w:rPr>
          <w:rFonts w:ascii="Arial" w:hAnsi="Arial" w:cs="Arial"/>
          <w:b/>
          <w:bCs/>
          <w:sz w:val="22"/>
          <w:szCs w:val="22"/>
        </w:rPr>
        <w:t xml:space="preserve">Administrativo nº </w:t>
      </w:r>
      <w:r w:rsidR="00B80628" w:rsidRPr="00B80628">
        <w:rPr>
          <w:rFonts w:ascii="Arial" w:hAnsi="Arial" w:cs="Arial"/>
          <w:b/>
          <w:bCs/>
          <w:sz w:val="22"/>
          <w:szCs w:val="22"/>
        </w:rPr>
        <w:t>19.081/2025</w:t>
      </w:r>
      <w:r w:rsidR="00776D41" w:rsidRPr="00B80628">
        <w:rPr>
          <w:rFonts w:ascii="Arial" w:hAnsi="Arial" w:cs="Arial"/>
          <w:b/>
          <w:bCs/>
          <w:sz w:val="22"/>
          <w:szCs w:val="22"/>
        </w:rPr>
        <w:t>,</w:t>
      </w:r>
      <w:r w:rsidR="005466C3" w:rsidRPr="00B80628">
        <w:rPr>
          <w:rFonts w:ascii="Arial" w:hAnsi="Arial" w:cs="Arial"/>
          <w:b/>
          <w:bCs/>
          <w:sz w:val="22"/>
          <w:szCs w:val="22"/>
        </w:rPr>
        <w:t xml:space="preserve"> </w:t>
      </w:r>
      <w:r w:rsidRPr="00B80628">
        <w:rPr>
          <w:rFonts w:ascii="Arial" w:hAnsi="Arial" w:cs="Arial"/>
          <w:sz w:val="22"/>
          <w:szCs w:val="22"/>
        </w:rPr>
        <w:t xml:space="preserve">e em observância às disposições da Lei nº </w:t>
      </w:r>
      <w:r w:rsidR="00F232EF" w:rsidRPr="00B80628">
        <w:rPr>
          <w:rFonts w:ascii="Arial" w:hAnsi="Arial" w:cs="Arial"/>
          <w:sz w:val="22"/>
          <w:szCs w:val="22"/>
        </w:rPr>
        <w:t xml:space="preserve">14.133, </w:t>
      </w:r>
      <w:r w:rsidR="009872FB" w:rsidRPr="00B80628">
        <w:rPr>
          <w:rFonts w:ascii="Arial" w:hAnsi="Arial" w:cs="Arial"/>
          <w:sz w:val="22"/>
          <w:szCs w:val="22"/>
        </w:rPr>
        <w:t xml:space="preserve">de 1º de abril </w:t>
      </w:r>
      <w:r w:rsidR="00F232EF" w:rsidRPr="00B80628">
        <w:rPr>
          <w:rFonts w:ascii="Arial" w:hAnsi="Arial" w:cs="Arial"/>
          <w:sz w:val="22"/>
          <w:szCs w:val="22"/>
        </w:rPr>
        <w:t>de 2021</w:t>
      </w:r>
      <w:r w:rsidR="0050761F" w:rsidRPr="00B80628">
        <w:rPr>
          <w:rFonts w:ascii="Arial" w:hAnsi="Arial" w:cs="Arial"/>
          <w:sz w:val="22"/>
          <w:szCs w:val="22"/>
        </w:rPr>
        <w:t xml:space="preserve"> </w:t>
      </w:r>
      <w:r w:rsidR="0050761F" w:rsidRPr="00B80628">
        <w:rPr>
          <w:rFonts w:ascii="Arial" w:hAnsi="Arial" w:cs="Arial"/>
          <w:sz w:val="22"/>
          <w:szCs w:val="22"/>
          <w:lang w:val="pt-PT"/>
        </w:rPr>
        <w:t xml:space="preserve">e </w:t>
      </w:r>
      <w:r w:rsidR="009872FB" w:rsidRPr="00B80628">
        <w:rPr>
          <w:rFonts w:ascii="Arial" w:hAnsi="Arial" w:cs="Arial"/>
          <w:sz w:val="22"/>
          <w:szCs w:val="22"/>
          <w:lang w:val="pt-PT"/>
        </w:rPr>
        <w:t>demais legislações aplicáveis</w:t>
      </w:r>
      <w:r w:rsidR="006306EF" w:rsidRPr="00B80628">
        <w:rPr>
          <w:rFonts w:ascii="Arial" w:hAnsi="Arial" w:cs="Arial"/>
          <w:sz w:val="22"/>
          <w:szCs w:val="22"/>
        </w:rPr>
        <w:t>,</w:t>
      </w:r>
      <w:r w:rsidRPr="00B80628">
        <w:rPr>
          <w:rFonts w:ascii="Arial" w:hAnsi="Arial" w:cs="Arial"/>
          <w:i/>
          <w:sz w:val="22"/>
          <w:szCs w:val="22"/>
        </w:rPr>
        <w:t xml:space="preserve"> </w:t>
      </w:r>
      <w:r w:rsidRPr="00B80628">
        <w:rPr>
          <w:rFonts w:ascii="Arial" w:hAnsi="Arial" w:cs="Arial"/>
          <w:sz w:val="22"/>
          <w:szCs w:val="22"/>
        </w:rPr>
        <w:t xml:space="preserve">resolvem celebrar o presente Termo de Contrato, decorrente do </w:t>
      </w:r>
      <w:r w:rsidR="005466C3" w:rsidRPr="00B80628">
        <w:rPr>
          <w:rFonts w:ascii="Arial" w:hAnsi="Arial" w:cs="Arial"/>
          <w:b/>
          <w:bCs/>
          <w:sz w:val="22"/>
          <w:szCs w:val="22"/>
        </w:rPr>
        <w:t>Pregão Eletrônico</w:t>
      </w:r>
      <w:r w:rsidR="000B23ED" w:rsidRPr="00B80628">
        <w:rPr>
          <w:rFonts w:ascii="Arial" w:hAnsi="Arial" w:cs="Arial"/>
          <w:b/>
          <w:bCs/>
          <w:sz w:val="22"/>
          <w:szCs w:val="22"/>
        </w:rPr>
        <w:t xml:space="preserve"> </w:t>
      </w:r>
      <w:r w:rsidR="005466C3" w:rsidRPr="00B80628">
        <w:rPr>
          <w:rFonts w:ascii="Arial" w:hAnsi="Arial" w:cs="Arial"/>
          <w:b/>
          <w:bCs/>
          <w:sz w:val="22"/>
          <w:szCs w:val="22"/>
        </w:rPr>
        <w:t xml:space="preserve">nº </w:t>
      </w:r>
      <w:r w:rsidR="00B80628" w:rsidRPr="00B80628">
        <w:rPr>
          <w:rFonts w:ascii="Arial" w:hAnsi="Arial" w:cs="Arial"/>
          <w:b/>
          <w:bCs/>
          <w:sz w:val="22"/>
          <w:szCs w:val="22"/>
        </w:rPr>
        <w:t>90.117/2025</w:t>
      </w:r>
      <w:r w:rsidRPr="00B80628">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51A46293"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B80628" w:rsidRPr="00B80628">
        <w:rPr>
          <w:rFonts w:ascii="Arial" w:eastAsia="Times New Roman" w:hAnsi="Arial" w:cs="Arial"/>
          <w:b/>
          <w:bCs/>
          <w:lang w:val="pt-BR" w:eastAsia="pt-BR"/>
        </w:rPr>
        <w:t>REGISTRO DE PREÇOS para futura e eventual CONTRATAÇÃO DE EMPRESA ESPECIALIZADA PARA PRESTAR SERVIÇO DE MANIPULAÇÃO DE BOLSAS DE NUTRIÇÃO PARENTERAL, para atender as necessidades da unidade neonatal do Hospital Maternidade Dr. Mário Dutra de Castro, pelo período de 01 (um) ano</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7E128C0A" w:rsidR="00B0084D" w:rsidRPr="00B80628"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0628">
        <w:rPr>
          <w:rFonts w:ascii="Arial" w:hAnsi="Arial" w:cs="Arial"/>
          <w:bCs/>
          <w:iCs/>
        </w:rPr>
        <w:t xml:space="preserve">O prazo de vigência da contratação é de .............................. contados do(a) ............................., prorrogável por até 10 anos, na forma dos </w:t>
      </w:r>
      <w:r w:rsidR="00AD1BE4" w:rsidRPr="00B80628">
        <w:rPr>
          <w:iCs/>
        </w:rPr>
        <w:fldChar w:fldCharType="begin"/>
      </w:r>
      <w:r w:rsidR="00AD1BE4" w:rsidRPr="00B80628">
        <w:rPr>
          <w:iCs/>
        </w:rPr>
        <w:instrText xml:space="preserve"> HYPERLINK "http://www.planalto.gov.br/ccivil_03/_ato2019-2022/2021/lei/L14133.htm" \l "art106" </w:instrText>
      </w:r>
      <w:r w:rsidR="00AD1BE4" w:rsidRPr="00B80628">
        <w:rPr>
          <w:iCs/>
        </w:rPr>
        <w:fldChar w:fldCharType="separate"/>
      </w:r>
      <w:r w:rsidRPr="00B80628">
        <w:rPr>
          <w:rFonts w:ascii="Arial" w:hAnsi="Arial" w:cs="Arial"/>
          <w:bCs/>
          <w:iCs/>
        </w:rPr>
        <w:t>artigos 106 e 107 da Lei n° 14.133, de 2021</w:t>
      </w:r>
      <w:r w:rsidR="00AD1BE4" w:rsidRPr="00B80628">
        <w:rPr>
          <w:rFonts w:ascii="Arial" w:hAnsi="Arial" w:cs="Arial"/>
          <w:bCs/>
          <w:iCs/>
        </w:rPr>
        <w:fldChar w:fldCharType="end"/>
      </w:r>
      <w:r w:rsidRPr="00B80628">
        <w:rPr>
          <w:rFonts w:ascii="Arial" w:hAnsi="Arial" w:cs="Arial"/>
          <w:bCs/>
          <w:iCs/>
        </w:rPr>
        <w:t>.</w:t>
      </w:r>
    </w:p>
    <w:p w14:paraId="42385670" w14:textId="0658CE8C" w:rsidR="007E7BBF" w:rsidRPr="00B80628"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0628">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B80628">
        <w:rPr>
          <w:rFonts w:ascii="Arial" w:hAnsi="Arial" w:cs="Arial"/>
          <w:bCs/>
          <w:iCs/>
        </w:rPr>
        <w:t>, atentando, ainda, para o cumprimento dos seguintes requisitos:</w:t>
      </w:r>
    </w:p>
    <w:p w14:paraId="3CDD9C7C" w14:textId="77777777" w:rsidR="007E7BBF" w:rsidRPr="00B80628"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0628">
        <w:rPr>
          <w:rFonts w:ascii="Arial" w:hAnsi="Arial" w:cs="Arial"/>
          <w:bCs/>
          <w:iCs/>
        </w:rPr>
        <w:t>Estar formalmente demonstrado no processo que a forma de prestação dos serviços tem natureza continuada;</w:t>
      </w:r>
    </w:p>
    <w:p w14:paraId="1CC92467" w14:textId="77777777" w:rsidR="007E7BBF" w:rsidRPr="00B80628"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0628">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B80628"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0628">
        <w:rPr>
          <w:rFonts w:ascii="Arial" w:hAnsi="Arial" w:cs="Arial"/>
          <w:bCs/>
          <w:iCs/>
        </w:rPr>
        <w:t xml:space="preserve">Seja juntada justificativa e motivo, por escrito, de que a Administração mantém interesse na realização do serviço;  </w:t>
      </w:r>
    </w:p>
    <w:p w14:paraId="1BDFC839" w14:textId="77777777" w:rsidR="007E7BBF" w:rsidRPr="00B80628"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0628">
        <w:rPr>
          <w:rFonts w:ascii="Arial" w:hAnsi="Arial" w:cs="Arial"/>
          <w:bCs/>
          <w:iCs/>
        </w:rPr>
        <w:t xml:space="preserve">Haja manifestação expressa do contratado informando o interesse na prorrogação; </w:t>
      </w:r>
    </w:p>
    <w:p w14:paraId="7310E3C8" w14:textId="77777777" w:rsidR="007E7BBF" w:rsidRPr="00B80628"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0628">
        <w:rPr>
          <w:rFonts w:ascii="Arial" w:hAnsi="Arial" w:cs="Arial"/>
          <w:bCs/>
          <w:iCs/>
        </w:rPr>
        <w:t>Seja comprovado que o contratado mantém as condições iniciais de habilitação.</w:t>
      </w:r>
    </w:p>
    <w:p w14:paraId="27B1858E" w14:textId="26310923" w:rsidR="00B0084D" w:rsidRPr="00B80628"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0628">
        <w:rPr>
          <w:rFonts w:ascii="Arial" w:hAnsi="Arial" w:cs="Arial"/>
          <w:bCs/>
          <w:iCs/>
        </w:rPr>
        <w:t>O contratado não tem direito subjetivo à prorrogação contratual.</w:t>
      </w:r>
    </w:p>
    <w:p w14:paraId="605D55A7" w14:textId="7CE278B1" w:rsidR="00B0084D" w:rsidRPr="00B80628"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0628">
        <w:rPr>
          <w:rFonts w:ascii="Arial" w:hAnsi="Arial" w:cs="Arial"/>
          <w:bCs/>
          <w:iCs/>
        </w:rPr>
        <w:t>A prorrogação de contrato deverá ser promovida mediante celebração de termo aditivo.</w:t>
      </w:r>
    </w:p>
    <w:p w14:paraId="76BC33BE" w14:textId="77777777" w:rsidR="007E7BBF" w:rsidRPr="00B80628" w:rsidRDefault="007E7BBF" w:rsidP="00807004">
      <w:pPr>
        <w:pStyle w:val="Nvel2-Red"/>
        <w:numPr>
          <w:ilvl w:val="1"/>
          <w:numId w:val="2"/>
        </w:numPr>
        <w:rPr>
          <w:rFonts w:eastAsia="Verdana"/>
          <w:bCs/>
          <w:i w:val="0"/>
          <w:color w:val="auto"/>
          <w:sz w:val="22"/>
          <w:szCs w:val="22"/>
          <w:lang w:val="pt-PT" w:eastAsia="en-US"/>
        </w:rPr>
      </w:pPr>
      <w:r w:rsidRPr="00B80628">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B80628"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0628">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F90373">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11A5359C" w:rsidR="007B0D84" w:rsidRPr="00F90373" w:rsidRDefault="00F90373" w:rsidP="00F90373">
      <w:pPr>
        <w:pStyle w:val="PargrafodaLista"/>
        <w:widowControl/>
        <w:numPr>
          <w:ilvl w:val="1"/>
          <w:numId w:val="2"/>
        </w:numPr>
        <w:autoSpaceDE/>
        <w:autoSpaceDN/>
        <w:spacing w:before="0" w:line="360" w:lineRule="auto"/>
        <w:ind w:left="0" w:firstLine="0"/>
        <w:jc w:val="both"/>
        <w:rPr>
          <w:rFonts w:ascii="Arial" w:hAnsi="Arial" w:cs="Arial"/>
          <w:bCs/>
          <w:iCs/>
          <w:u w:val="single"/>
        </w:rPr>
      </w:pPr>
      <w:r w:rsidRPr="00F90373">
        <w:rPr>
          <w:rFonts w:ascii="Arial" w:hAnsi="Arial" w:cs="Arial"/>
          <w:bCs/>
          <w:iCs/>
          <w:u w:val="single"/>
        </w:rPr>
        <w:t>MODELO DE EXECUÇÃO DO OBJETO (arts. 6º, XXIII, alínea “e” e 40, §1º, inciso II, da Lei nº 14.133/2021):</w:t>
      </w:r>
    </w:p>
    <w:p w14:paraId="364CE829" w14:textId="07754109" w:rsidR="00F90373" w:rsidRPr="00F90373" w:rsidRDefault="00F90373" w:rsidP="00F90373">
      <w:pPr>
        <w:pStyle w:val="Nivel2"/>
        <w:spacing w:before="0" w:after="0" w:line="360" w:lineRule="auto"/>
        <w:rPr>
          <w:rFonts w:eastAsia="Verdana"/>
          <w:bCs/>
          <w:iCs/>
          <w:color w:val="auto"/>
          <w:sz w:val="22"/>
          <w:szCs w:val="22"/>
          <w:lang w:val="pt-PT" w:eastAsia="en-US"/>
        </w:rPr>
      </w:pPr>
      <w:r w:rsidRPr="00F90373">
        <w:rPr>
          <w:rFonts w:eastAsia="Verdana"/>
          <w:bCs/>
          <w:iCs/>
          <w:color w:val="auto"/>
          <w:sz w:val="22"/>
          <w:szCs w:val="22"/>
          <w:lang w:val="pt-PT" w:eastAsia="en-US"/>
        </w:rPr>
        <w:lastRenderedPageBreak/>
        <w:t>3.1.1 O serviço deverá ser iniciado em até 05 (cinco) dias corridos, contados a partir da publicação do extrato do Instrumento Contratual no Diário Oficial do Município.</w:t>
      </w:r>
    </w:p>
    <w:p w14:paraId="40BBB684" w14:textId="720E0B1F" w:rsidR="00F90373" w:rsidRPr="00F90373" w:rsidRDefault="00F90373" w:rsidP="00F90373">
      <w:pPr>
        <w:pStyle w:val="Nivel2"/>
        <w:spacing w:before="0" w:after="0" w:line="360" w:lineRule="auto"/>
        <w:rPr>
          <w:rFonts w:eastAsia="Verdana"/>
          <w:bCs/>
          <w:iCs/>
          <w:color w:val="auto"/>
          <w:sz w:val="22"/>
          <w:szCs w:val="22"/>
          <w:lang w:val="pt-PT" w:eastAsia="en-US"/>
        </w:rPr>
      </w:pPr>
      <w:r w:rsidRPr="00F90373">
        <w:rPr>
          <w:rFonts w:eastAsia="Verdana"/>
          <w:bCs/>
          <w:iCs/>
          <w:color w:val="auto"/>
          <w:sz w:val="22"/>
          <w:szCs w:val="22"/>
          <w:lang w:val="pt-PT" w:eastAsia="en-US"/>
        </w:rPr>
        <w:t>3.1.2  Os serviços serão prestados atendendo ao quantitativo definido conforme o item 1 deste Termo de Referência, podendo o contrato decorrente da Ata de Registro de Preços, ser prorrogado por igual período até o limite máximo de 10 (dez) anos, conforme dispõe o art. 107 da lei nº 14133/21, considerando se tratar de serviço contínuo e essencial.</w:t>
      </w:r>
    </w:p>
    <w:p w14:paraId="02916A91" w14:textId="613E1721" w:rsidR="00F90373" w:rsidRPr="00F90373" w:rsidRDefault="00F90373" w:rsidP="00F90373">
      <w:pPr>
        <w:pStyle w:val="PargrafodaLista"/>
        <w:spacing w:before="0" w:line="360" w:lineRule="auto"/>
        <w:ind w:left="0"/>
        <w:jc w:val="both"/>
        <w:rPr>
          <w:rFonts w:ascii="Arial" w:hAnsi="Arial" w:cs="Arial"/>
          <w:bCs/>
          <w:iCs/>
        </w:rPr>
      </w:pPr>
      <w:r w:rsidRPr="00F90373">
        <w:rPr>
          <w:rFonts w:ascii="Arial" w:hAnsi="Arial" w:cs="Arial"/>
          <w:bCs/>
          <w:iCs/>
        </w:rPr>
        <w:t>3.1.3  O prazo de entrega dos bens é de 24 (vinte e quatro) horas, contados do envio da Nota de Empenho e da prescrição, (de acordo com o quantitativo da prescrição), no seguinte endereço:</w:t>
      </w:r>
    </w:p>
    <w:p w14:paraId="076564B6" w14:textId="77777777" w:rsidR="00F90373" w:rsidRPr="00F90373" w:rsidRDefault="00F90373" w:rsidP="00F90373">
      <w:pPr>
        <w:pStyle w:val="PargrafodaLista"/>
        <w:widowControl/>
        <w:numPr>
          <w:ilvl w:val="2"/>
          <w:numId w:val="11"/>
        </w:numPr>
        <w:suppressAutoHyphens/>
        <w:autoSpaceDE/>
        <w:spacing w:before="0" w:line="360" w:lineRule="auto"/>
        <w:ind w:left="0" w:firstLine="0"/>
        <w:jc w:val="both"/>
        <w:textAlignment w:val="baseline"/>
        <w:rPr>
          <w:rFonts w:ascii="Arial" w:hAnsi="Arial" w:cs="Arial"/>
          <w:bCs/>
          <w:iCs/>
        </w:rPr>
      </w:pPr>
      <w:r w:rsidRPr="00F90373">
        <w:rPr>
          <w:rFonts w:ascii="Arial" w:hAnsi="Arial" w:cs="Arial"/>
          <w:bCs/>
          <w:iCs/>
        </w:rPr>
        <w:t>Hospital Maternidade – Travessa Antônio Fernandes Moreira, n.º 12, Centro, Nova Friburgo/RJ.</w:t>
      </w:r>
    </w:p>
    <w:p w14:paraId="2AD28BA1" w14:textId="55E872AC" w:rsidR="00F90373" w:rsidRPr="00F90373" w:rsidRDefault="00F90373" w:rsidP="00F90373">
      <w:pPr>
        <w:spacing w:line="360" w:lineRule="auto"/>
        <w:jc w:val="both"/>
        <w:rPr>
          <w:rFonts w:ascii="Arial" w:hAnsi="Arial" w:cs="Arial"/>
          <w:bCs/>
          <w:iCs/>
        </w:rPr>
      </w:pPr>
      <w:r w:rsidRPr="00F90373">
        <w:rPr>
          <w:rFonts w:ascii="Arial" w:hAnsi="Arial" w:cs="Arial"/>
          <w:bCs/>
          <w:iCs/>
        </w:rPr>
        <w:t>3.1.4  A licitante vencedora do certame deve ter capacidade de manipular e entregar a(s) nutrição(ões) parenteral(is) solicitada(s) em até 24 horas (vinte e quatro horas) após envio da(s) prescrição(ões) médica(s) através de e-mail pela Unidade Hospitalar. A entrega das bolsas de nutrição parenteral manipuladas deve ser realizada na Unidade Requisitante, a qual possui funcionamento 24 horas por dia.</w:t>
      </w:r>
    </w:p>
    <w:p w14:paraId="6A4360F9" w14:textId="617F7EAD" w:rsidR="00F90373" w:rsidRPr="00F90373" w:rsidRDefault="00F90373" w:rsidP="00F90373">
      <w:pPr>
        <w:spacing w:line="360" w:lineRule="auto"/>
        <w:jc w:val="both"/>
        <w:rPr>
          <w:rFonts w:ascii="Arial" w:hAnsi="Arial" w:cs="Arial"/>
          <w:bCs/>
          <w:iCs/>
        </w:rPr>
      </w:pPr>
      <w:r w:rsidRPr="00F90373">
        <w:rPr>
          <w:rFonts w:ascii="Arial" w:hAnsi="Arial" w:cs="Arial"/>
          <w:bCs/>
          <w:iCs/>
        </w:rPr>
        <w:t>3.1.5  A Licitante deverá responder por e-mail ao Serviço de Farmácia a confirmação do pedido, além de informar o que será entregue, assim como a previsão da entrega.</w:t>
      </w:r>
    </w:p>
    <w:p w14:paraId="35EC2738" w14:textId="18CD2230" w:rsidR="00F90373" w:rsidRPr="00F90373" w:rsidRDefault="00F90373" w:rsidP="00F90373">
      <w:pPr>
        <w:pStyle w:val="PargrafodaLista"/>
        <w:widowControl/>
        <w:numPr>
          <w:ilvl w:val="2"/>
          <w:numId w:val="13"/>
        </w:numPr>
        <w:suppressAutoHyphens/>
        <w:autoSpaceDE/>
        <w:spacing w:before="0" w:line="360" w:lineRule="auto"/>
        <w:ind w:left="0" w:firstLine="0"/>
        <w:jc w:val="both"/>
        <w:textAlignment w:val="baseline"/>
        <w:rPr>
          <w:rFonts w:ascii="Arial" w:hAnsi="Arial" w:cs="Arial"/>
          <w:bCs/>
          <w:iCs/>
        </w:rPr>
      </w:pPr>
      <w:r w:rsidRPr="00F90373">
        <w:rPr>
          <w:rFonts w:ascii="Arial" w:hAnsi="Arial" w:cs="Arial"/>
          <w:bCs/>
          <w:iCs/>
        </w:rPr>
        <w:t>As solicitações de nutrição parenteral manipulada podem ocorrer de segunda-feira a domingo, inclusive feriados. O intervalo de horário de envio da(s) prescrição(ões) médica(s) será acordado entre Contratante e Contratada após o envio do Nota de Empenho.</w:t>
      </w:r>
    </w:p>
    <w:p w14:paraId="60A26857" w14:textId="42915296"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r w:rsidRPr="00F90373">
        <w:rPr>
          <w:rFonts w:ascii="Arial" w:hAnsi="Arial" w:cs="Arial"/>
          <w:bCs/>
          <w:iCs/>
        </w:rPr>
        <w:t>3.1.7 Os procedimentos solicitados deverão atender a demanda de pacientes do Hospital Municipal Raul Sertã e do Hospital Maternidade.</w:t>
      </w:r>
    </w:p>
    <w:p w14:paraId="2C32072E" w14:textId="1618ED45"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r w:rsidRPr="00F90373">
        <w:rPr>
          <w:rFonts w:ascii="Arial" w:hAnsi="Arial" w:cs="Arial"/>
          <w:bCs/>
          <w:iCs/>
        </w:rPr>
        <w:t>3.1.8  A execução dos serviços deverá seguir conforme proposto pela CONTRATANTE durante o prazo de vigência do contrato, respeitando suas cláusulas.</w:t>
      </w:r>
    </w:p>
    <w:p w14:paraId="3703854A" w14:textId="2645F273"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r w:rsidRPr="00F90373">
        <w:rPr>
          <w:rFonts w:ascii="Arial" w:hAnsi="Arial" w:cs="Arial"/>
          <w:bCs/>
          <w:iCs/>
        </w:rPr>
        <w:t>3.1.9  Caberá a Contratada a responsabilidade por erro de qualquer natureza relacionado aos métodos utilizados, seja na esfera administrativa, civil ou penal.</w:t>
      </w:r>
    </w:p>
    <w:p w14:paraId="04ABDC30" w14:textId="5BF26D85"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r w:rsidRPr="00F90373">
        <w:rPr>
          <w:rFonts w:ascii="Arial" w:hAnsi="Arial" w:cs="Arial"/>
          <w:bCs/>
          <w:iCs/>
        </w:rPr>
        <w:t>3.1.10  Deverá a Contratada permitir a fiscalização dos serviços pela Secretaria Municipal de Saúde de Nova Friburgo, em qualquer tempo e mantê-la permanentemente informada a respeito do andamento dos mesmos.</w:t>
      </w:r>
    </w:p>
    <w:p w14:paraId="14C5DC62" w14:textId="6348D51D"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r w:rsidRPr="00F90373">
        <w:rPr>
          <w:rFonts w:ascii="Arial" w:hAnsi="Arial" w:cs="Arial"/>
          <w:bCs/>
          <w:iCs/>
        </w:rPr>
        <w:t>3.1.11  A Contratada não poderá optar pela realização de alguns serviços em detrimento de outros, devendo se comprometer a realizar todos os serviços prestados no contrato.</w:t>
      </w:r>
    </w:p>
    <w:p w14:paraId="05A450CE" w14:textId="77777777"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p>
    <w:p w14:paraId="0BBCA0F7" w14:textId="0D78E00C" w:rsidR="00F90373" w:rsidRPr="00F90373" w:rsidRDefault="00F90373" w:rsidP="00F90373">
      <w:pPr>
        <w:pStyle w:val="PargrafodaLista"/>
        <w:tabs>
          <w:tab w:val="left" w:pos="576"/>
        </w:tabs>
        <w:spacing w:before="0" w:line="360" w:lineRule="auto"/>
        <w:ind w:left="0" w:right="170"/>
        <w:jc w:val="both"/>
        <w:rPr>
          <w:rFonts w:ascii="Arial" w:hAnsi="Arial" w:cs="Arial"/>
          <w:bCs/>
          <w:iCs/>
        </w:rPr>
      </w:pPr>
      <w:r w:rsidRPr="00F90373">
        <w:rPr>
          <w:rFonts w:ascii="Arial" w:hAnsi="Arial" w:cs="Arial"/>
          <w:bCs/>
          <w:iCs/>
        </w:rPr>
        <w:lastRenderedPageBreak/>
        <w:t>3.1.12  A disponibilização de todos os equipamentos e insumos necessários à perfeita execução do objeto ficará a cargo da empresa, sem qualquer ônus para este Município, observando-se as normas legais pertinentes.</w:t>
      </w:r>
    </w:p>
    <w:p w14:paraId="39819BA8" w14:textId="1BA546C8" w:rsidR="00F90373" w:rsidRPr="00F90373" w:rsidRDefault="00F90373" w:rsidP="00F90373">
      <w:pPr>
        <w:pStyle w:val="Nivel2"/>
        <w:spacing w:before="0" w:after="0" w:line="360" w:lineRule="auto"/>
        <w:rPr>
          <w:rFonts w:eastAsia="Verdana"/>
          <w:bCs/>
          <w:iCs/>
          <w:color w:val="auto"/>
          <w:sz w:val="22"/>
          <w:szCs w:val="22"/>
          <w:lang w:val="pt-PT" w:eastAsia="en-US"/>
        </w:rPr>
      </w:pPr>
      <w:r w:rsidRPr="00F90373">
        <w:rPr>
          <w:rFonts w:eastAsia="Verdana"/>
          <w:bCs/>
          <w:iCs/>
          <w:color w:val="auto"/>
          <w:sz w:val="22"/>
          <w:szCs w:val="22"/>
          <w:lang w:val="pt-PT" w:eastAsia="en-US"/>
        </w:rPr>
        <w:t>3.1.13  Os serviços poderão ser rejeitados, no todo ou em parte, quando em desacordo com as especificações constantes neste Termo de Referência e na proposta, devendo ser corrigidos/refeitos/substituídos no prazo fixado pelo fiscal do contrato, às suas custas, sem prejuízo da aplicação das penalidades.</w:t>
      </w:r>
    </w:p>
    <w:p w14:paraId="1553DD5F" w14:textId="7651B3E4" w:rsidR="00F90373" w:rsidRPr="00F90373" w:rsidRDefault="00F90373" w:rsidP="00F90373">
      <w:pPr>
        <w:pStyle w:val="Nivel2"/>
        <w:spacing w:before="0" w:after="0" w:line="360" w:lineRule="auto"/>
        <w:rPr>
          <w:rFonts w:eastAsia="Verdana"/>
          <w:bCs/>
          <w:iCs/>
          <w:color w:val="auto"/>
          <w:sz w:val="22"/>
          <w:szCs w:val="22"/>
          <w:lang w:val="pt-PT" w:eastAsia="en-US"/>
        </w:rPr>
      </w:pPr>
      <w:r w:rsidRPr="00F90373">
        <w:rPr>
          <w:rFonts w:eastAsia="Verdana"/>
          <w:bCs/>
          <w:iCs/>
          <w:color w:val="auto"/>
          <w:sz w:val="22"/>
          <w:szCs w:val="22"/>
          <w:lang w:val="pt-PT" w:eastAsia="en-US"/>
        </w:rPr>
        <w:t>3.1.14  Os serviços serão recebidos definitivamente no prazo de 2 (dois) dias, contados do recebimento provisório, após a verificação da qualidade e quantidade do material e consequente aceitação mediante termo detalhado.</w:t>
      </w:r>
    </w:p>
    <w:p w14:paraId="013A5F48" w14:textId="4E26DEFD" w:rsidR="00F90373" w:rsidRPr="00F90373" w:rsidRDefault="00F90373" w:rsidP="00F90373">
      <w:pPr>
        <w:pStyle w:val="Nivel2"/>
        <w:spacing w:before="0" w:after="0" w:line="360" w:lineRule="auto"/>
        <w:rPr>
          <w:rFonts w:eastAsia="Verdana"/>
          <w:bCs/>
          <w:iCs/>
          <w:color w:val="auto"/>
          <w:sz w:val="22"/>
          <w:szCs w:val="22"/>
          <w:lang w:val="pt-PT" w:eastAsia="en-US"/>
        </w:rPr>
      </w:pPr>
      <w:r w:rsidRPr="00F90373">
        <w:rPr>
          <w:rFonts w:eastAsia="Verdana"/>
          <w:bCs/>
          <w:iCs/>
          <w:color w:val="auto"/>
          <w:sz w:val="22"/>
          <w:szCs w:val="22"/>
          <w:lang w:val="pt-PT" w:eastAsia="en-US"/>
        </w:rPr>
        <w:t>3.1.15  O recebimento provisório ou definitivo não excluirá a responsabilidade civil pela solidez e pela segurança do serviço nem a responsabilidade ético-profissional pela perfeita execução do contrato.</w:t>
      </w:r>
    </w:p>
    <w:p w14:paraId="6660996B" w14:textId="77777777" w:rsidR="00B80628" w:rsidRPr="009872FB" w:rsidRDefault="00B80628"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F90373">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F90373">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 xml:space="preserve">Não será </w:t>
      </w:r>
      <w:r w:rsidRPr="00F90373">
        <w:rPr>
          <w:rFonts w:ascii="Arial" w:hAnsi="Arial" w:cs="Arial"/>
          <w:bCs/>
          <w:iCs/>
        </w:rPr>
        <w:t xml:space="preserve">admitida a subcontratação </w:t>
      </w:r>
      <w:r w:rsidRPr="00C634F1">
        <w:rPr>
          <w:rFonts w:ascii="Arial" w:hAnsi="Arial" w:cs="Arial"/>
          <w:bCs/>
          <w:iCs/>
        </w:rPr>
        <w:t>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F90373">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C357DB" w:rsidRDefault="00147B9F" w:rsidP="00F90373">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C357DB">
        <w:rPr>
          <w:rFonts w:ascii="Arial" w:hAnsi="Arial" w:cs="Arial"/>
          <w:bCs/>
          <w:iCs/>
        </w:rPr>
        <w:t>O valor total da contratação é de R$.......... (.....)</w:t>
      </w:r>
    </w:p>
    <w:p w14:paraId="19E0CAC1" w14:textId="3066B963" w:rsidR="001D32DF" w:rsidRPr="00C357DB" w:rsidRDefault="001D32DF" w:rsidP="00F90373">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C357D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F831A33" w:rsidR="00147B9F" w:rsidRDefault="00147B9F" w:rsidP="00F90373">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C357DB">
        <w:rPr>
          <w:rFonts w:ascii="Arial" w:hAnsi="Arial" w:cs="Arial"/>
          <w:bCs/>
          <w:iCs/>
        </w:rPr>
        <w:t>O valor acima é meramente estimativo, de forma que os pagamentos devidos ao contratado dependerão dos quantitativos efetivamente fornecidos.</w:t>
      </w:r>
    </w:p>
    <w:p w14:paraId="13910F17" w14:textId="77777777" w:rsidR="00C357DB" w:rsidRPr="00C357DB" w:rsidRDefault="00C357DB" w:rsidP="00C357DB">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F90373">
      <w:pPr>
        <w:pStyle w:val="PargrafodaLista"/>
        <w:numPr>
          <w:ilvl w:val="0"/>
          <w:numId w:val="13"/>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5C2FDDBE" w14:textId="0451B47A" w:rsidR="00D161F9" w:rsidRPr="00D161F9" w:rsidRDefault="00D161F9" w:rsidP="00D161F9">
      <w:pPr>
        <w:pStyle w:val="PargrafodaLista"/>
        <w:numPr>
          <w:ilvl w:val="1"/>
          <w:numId w:val="13"/>
        </w:numPr>
        <w:spacing w:line="360" w:lineRule="auto"/>
        <w:ind w:left="0" w:firstLine="0"/>
        <w:jc w:val="both"/>
        <w:rPr>
          <w:rFonts w:ascii="Arial" w:hAnsi="Arial" w:cs="Arial"/>
          <w:bCs/>
          <w:iCs/>
        </w:rPr>
      </w:pPr>
      <w:r w:rsidRPr="00D161F9">
        <w:rPr>
          <w:rFonts w:ascii="Arial" w:hAnsi="Arial" w:cs="Arial"/>
          <w:bCs/>
          <w:iCs/>
        </w:rPr>
        <w:t xml:space="preserve">As Notas Fiscais deverão ser emitidas em nome de: </w:t>
      </w:r>
      <w:r w:rsidRPr="00D161F9">
        <w:rPr>
          <w:rFonts w:ascii="Arial" w:hAnsi="Arial" w:cs="Arial"/>
          <w:b/>
          <w:iCs/>
        </w:rPr>
        <w:t>FUNDO MUNICIPAL DE SAÚDE, CNPJ: 11.399.442/0001-79 - AVENIDA ALBERTO BRAUNE, Nº 224, SALA 221, CENTRO, NOVA FRIBURGO/RJ, CEP 28613-001</w:t>
      </w:r>
      <w:r w:rsidRPr="00D161F9">
        <w:rPr>
          <w:rFonts w:ascii="Arial" w:hAnsi="Arial" w:cs="Arial"/>
          <w:bCs/>
          <w:iCs/>
        </w:rPr>
        <w:t>.</w:t>
      </w:r>
    </w:p>
    <w:p w14:paraId="358D654C" w14:textId="461BF5E2" w:rsidR="00D161F9" w:rsidRPr="00D161F9" w:rsidRDefault="00D161F9" w:rsidP="00D161F9">
      <w:pPr>
        <w:pStyle w:val="Standard"/>
        <w:numPr>
          <w:ilvl w:val="1"/>
          <w:numId w:val="13"/>
        </w:numPr>
        <w:spacing w:line="360" w:lineRule="auto"/>
        <w:ind w:left="0" w:firstLine="0"/>
        <w:jc w:val="both"/>
        <w:rPr>
          <w:rFonts w:ascii="Arial" w:eastAsia="Verdana" w:hAnsi="Arial" w:cs="Arial"/>
          <w:bCs/>
          <w:iCs/>
          <w:u w:val="single"/>
          <w:lang w:val="pt-PT"/>
        </w:rPr>
      </w:pPr>
      <w:r w:rsidRPr="00D161F9">
        <w:rPr>
          <w:rFonts w:ascii="Arial" w:eastAsia="Verdana" w:hAnsi="Arial" w:cs="Arial"/>
          <w:bCs/>
          <w:iCs/>
          <w:u w:val="single"/>
          <w:lang w:val="pt-PT"/>
        </w:rPr>
        <w:t>Da liquidação da despesa:</w:t>
      </w:r>
    </w:p>
    <w:p w14:paraId="3D314F83" w14:textId="204A05E9" w:rsidR="00511C35" w:rsidRPr="00511C35" w:rsidRDefault="00511C35" w:rsidP="00511C35">
      <w:pPr>
        <w:pStyle w:val="PargrafodaLista"/>
        <w:numPr>
          <w:ilvl w:val="2"/>
          <w:numId w:val="14"/>
        </w:numPr>
        <w:spacing w:line="360" w:lineRule="auto"/>
        <w:ind w:left="0" w:firstLine="0"/>
        <w:jc w:val="both"/>
        <w:rPr>
          <w:rFonts w:ascii="Arial" w:hAnsi="Arial" w:cs="Arial"/>
          <w:bCs/>
          <w:iCs/>
        </w:rPr>
      </w:pPr>
      <w:r w:rsidRPr="00511C35">
        <w:rPr>
          <w:rFonts w:ascii="Arial" w:hAnsi="Arial" w:cs="Arial"/>
          <w:bCs/>
          <w:iCs/>
        </w:rPr>
        <w:t xml:space="preserve">A liquidação será realizada pela Secretaria de Fazenda, a partir do cumprimento das obrigações elencadas neste Termo de Referência, em obediência ao Decreto nº 2493, de 07 </w:t>
      </w:r>
      <w:r w:rsidRPr="00511C35">
        <w:rPr>
          <w:rFonts w:ascii="Arial" w:hAnsi="Arial" w:cs="Arial"/>
          <w:bCs/>
          <w:iCs/>
        </w:rPr>
        <w:lastRenderedPageBreak/>
        <w:t>de novembro de 2023 c/c 3116, de 18 de setembro de 2024.</w:t>
      </w:r>
    </w:p>
    <w:p w14:paraId="2457BE30" w14:textId="0914D452" w:rsidR="00D161F9" w:rsidRPr="00D161F9" w:rsidRDefault="00D161F9" w:rsidP="00D161F9">
      <w:pPr>
        <w:pStyle w:val="PargrafodaLista"/>
        <w:numPr>
          <w:ilvl w:val="2"/>
          <w:numId w:val="14"/>
        </w:numPr>
        <w:spacing w:line="360" w:lineRule="auto"/>
        <w:ind w:left="0" w:firstLine="0"/>
        <w:jc w:val="both"/>
        <w:rPr>
          <w:rFonts w:ascii="Arial" w:hAnsi="Arial" w:cs="Arial"/>
          <w:bCs/>
          <w:iCs/>
        </w:rPr>
      </w:pPr>
      <w:r w:rsidRPr="00D161F9">
        <w:rPr>
          <w:rFonts w:ascii="Arial" w:hAnsi="Arial" w:cs="Arial"/>
          <w:bCs/>
          <w:iCs/>
        </w:rPr>
        <w:t xml:space="preserve">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r w:rsidRPr="00D161F9">
        <w:rPr>
          <w:rFonts w:ascii="Arial" w:hAnsi="Arial" w:cs="Arial"/>
          <w:bCs/>
          <w:iCs/>
        </w:rPr>
        <w:fldChar w:fldCharType="begin"/>
      </w:r>
      <w:r w:rsidRPr="00D161F9">
        <w:rPr>
          <w:rFonts w:ascii="Arial" w:hAnsi="Arial" w:cs="Arial"/>
          <w:bCs/>
          <w:iCs/>
        </w:rPr>
        <w:instrText xml:space="preserve"> HYPERLINK  "https://pmnf.rj.gov.br/paginas-centralizadas/9_64_Legislacoes.html" </w:instrText>
      </w:r>
      <w:r w:rsidRPr="00D161F9">
        <w:rPr>
          <w:rFonts w:ascii="Arial" w:hAnsi="Arial" w:cs="Arial"/>
          <w:bCs/>
          <w:iCs/>
        </w:rPr>
        <w:fldChar w:fldCharType="separate"/>
      </w:r>
      <w:r w:rsidRPr="00D161F9">
        <w:rPr>
          <w:rFonts w:ascii="Arial" w:hAnsi="Arial" w:cs="Arial"/>
          <w:bCs/>
          <w:iCs/>
        </w:rPr>
        <w:t>https://pmnf.rj.gov.br/paginas-centralizadas/9_64_Legislacoes.html</w:t>
      </w:r>
      <w:r w:rsidRPr="00D161F9">
        <w:rPr>
          <w:rFonts w:ascii="Arial" w:hAnsi="Arial" w:cs="Arial"/>
          <w:bCs/>
          <w:iCs/>
        </w:rPr>
        <w:fldChar w:fldCharType="end"/>
      </w:r>
    </w:p>
    <w:p w14:paraId="7BF8104D" w14:textId="0818C090" w:rsidR="00D161F9" w:rsidRPr="00D161F9" w:rsidRDefault="00D161F9" w:rsidP="00D161F9">
      <w:pPr>
        <w:pStyle w:val="Standard"/>
        <w:numPr>
          <w:ilvl w:val="1"/>
          <w:numId w:val="14"/>
        </w:numPr>
        <w:spacing w:line="360" w:lineRule="auto"/>
        <w:ind w:left="0" w:firstLine="0"/>
        <w:jc w:val="both"/>
        <w:rPr>
          <w:rFonts w:ascii="Arial" w:eastAsia="Verdana" w:hAnsi="Arial" w:cs="Arial"/>
          <w:bCs/>
          <w:iCs/>
          <w:u w:val="single"/>
          <w:lang w:val="pt-PT"/>
        </w:rPr>
      </w:pPr>
      <w:r w:rsidRPr="00D161F9">
        <w:rPr>
          <w:rFonts w:ascii="Arial" w:eastAsia="Verdana" w:hAnsi="Arial" w:cs="Arial"/>
          <w:bCs/>
          <w:iCs/>
          <w:u w:val="single"/>
          <w:lang w:val="pt-PT"/>
        </w:rPr>
        <w:t>Do pagamento da despesa:</w:t>
      </w:r>
    </w:p>
    <w:p w14:paraId="7E148470" w14:textId="0315C92B" w:rsidR="00D161F9" w:rsidRPr="00D161F9" w:rsidRDefault="00D161F9" w:rsidP="00D161F9">
      <w:pPr>
        <w:pStyle w:val="PargrafodaLista"/>
        <w:numPr>
          <w:ilvl w:val="2"/>
          <w:numId w:val="15"/>
        </w:numPr>
        <w:spacing w:line="360" w:lineRule="auto"/>
        <w:ind w:left="0" w:firstLine="0"/>
        <w:jc w:val="both"/>
        <w:rPr>
          <w:rFonts w:ascii="Arial" w:hAnsi="Arial" w:cs="Arial"/>
          <w:bCs/>
          <w:iCs/>
        </w:rPr>
      </w:pPr>
      <w:r w:rsidRPr="00D161F9">
        <w:rPr>
          <w:rFonts w:ascii="Arial" w:hAnsi="Arial" w:cs="Arial"/>
          <w:bCs/>
          <w:iCs/>
        </w:rPr>
        <w:t>O pagamento será efetuado conforme estabelecido no Decreto Municipal nº 2493, de 07 de novembro de 2023 c/c 3116, de 18 de setembro de 2024, desde que as certidões listadas abaixo estejam dentro da validade:</w:t>
      </w:r>
    </w:p>
    <w:p w14:paraId="7429B5FE" w14:textId="1B6B9774" w:rsidR="00D161F9" w:rsidRPr="00D161F9" w:rsidRDefault="00D161F9" w:rsidP="00D161F9">
      <w:pPr>
        <w:pStyle w:val="Standard"/>
        <w:spacing w:line="360" w:lineRule="auto"/>
        <w:jc w:val="both"/>
        <w:rPr>
          <w:rFonts w:ascii="Arial" w:eastAsia="Verdana" w:hAnsi="Arial" w:cs="Arial"/>
          <w:bCs/>
          <w:iCs/>
          <w:lang w:val="pt-PT"/>
        </w:rPr>
      </w:pPr>
      <w:r w:rsidRPr="00D161F9">
        <w:rPr>
          <w:rFonts w:ascii="Arial" w:eastAsia="Verdana" w:hAnsi="Arial" w:cs="Arial"/>
          <w:bCs/>
          <w:iCs/>
          <w:lang w:val="pt-PT"/>
        </w:rPr>
        <w:t>- Negativa de Débitos Trabalhistas;</w:t>
      </w:r>
    </w:p>
    <w:p w14:paraId="7F37D478" w14:textId="55636F63" w:rsidR="00D161F9" w:rsidRPr="00D161F9" w:rsidRDefault="00D161F9" w:rsidP="00D161F9">
      <w:pPr>
        <w:pStyle w:val="Standard"/>
        <w:spacing w:line="360" w:lineRule="auto"/>
        <w:jc w:val="both"/>
        <w:rPr>
          <w:rFonts w:ascii="Arial" w:eastAsia="Verdana" w:hAnsi="Arial" w:cs="Arial"/>
          <w:bCs/>
          <w:iCs/>
          <w:lang w:val="pt-PT"/>
        </w:rPr>
      </w:pPr>
      <w:r w:rsidRPr="00D161F9">
        <w:rPr>
          <w:rFonts w:ascii="Arial" w:eastAsia="Verdana" w:hAnsi="Arial" w:cs="Arial"/>
          <w:bCs/>
          <w:iCs/>
          <w:lang w:val="pt-PT"/>
        </w:rPr>
        <w:t>- Fazenda Federal – abrange as contribuições sociais;</w:t>
      </w:r>
    </w:p>
    <w:p w14:paraId="1BDF01E6" w14:textId="5866E5E8" w:rsidR="00D161F9" w:rsidRPr="00D161F9" w:rsidRDefault="00D161F9" w:rsidP="00D161F9">
      <w:pPr>
        <w:pStyle w:val="Standard"/>
        <w:spacing w:line="360" w:lineRule="auto"/>
        <w:jc w:val="both"/>
        <w:rPr>
          <w:rFonts w:ascii="Arial" w:eastAsia="Verdana" w:hAnsi="Arial" w:cs="Arial"/>
          <w:bCs/>
          <w:iCs/>
          <w:lang w:val="pt-PT"/>
        </w:rPr>
      </w:pPr>
      <w:r w:rsidRPr="00D161F9">
        <w:rPr>
          <w:rFonts w:ascii="Arial" w:eastAsia="Verdana" w:hAnsi="Arial" w:cs="Arial"/>
          <w:bCs/>
          <w:iCs/>
          <w:lang w:val="pt-PT"/>
        </w:rPr>
        <w:t>- FGTS; PGE – referente à Dívida Ativa Estadual;</w:t>
      </w:r>
    </w:p>
    <w:p w14:paraId="5558833C" w14:textId="4B0DE302" w:rsidR="00D161F9" w:rsidRPr="00D161F9" w:rsidRDefault="00D161F9" w:rsidP="00D161F9">
      <w:pPr>
        <w:pStyle w:val="Standard"/>
        <w:spacing w:line="360" w:lineRule="auto"/>
        <w:jc w:val="both"/>
        <w:rPr>
          <w:rFonts w:ascii="Arial" w:eastAsia="Verdana" w:hAnsi="Arial" w:cs="Arial"/>
          <w:bCs/>
          <w:iCs/>
          <w:lang w:val="pt-PT"/>
        </w:rPr>
      </w:pPr>
      <w:r w:rsidRPr="00D161F9">
        <w:rPr>
          <w:rFonts w:ascii="Arial" w:eastAsia="Verdana" w:hAnsi="Arial" w:cs="Arial"/>
          <w:bCs/>
          <w:iCs/>
          <w:lang w:val="pt-PT"/>
        </w:rPr>
        <w:t>- Municipal – referente ao ISS e Dívida Ativa;</w:t>
      </w:r>
    </w:p>
    <w:p w14:paraId="3FAF74DB" w14:textId="6C11AC1B" w:rsidR="00D161F9" w:rsidRPr="00D161F9" w:rsidRDefault="00D161F9" w:rsidP="00D161F9">
      <w:pPr>
        <w:pStyle w:val="Standard"/>
        <w:spacing w:line="360" w:lineRule="auto"/>
        <w:jc w:val="both"/>
        <w:rPr>
          <w:rFonts w:ascii="Arial" w:eastAsia="Verdana" w:hAnsi="Arial" w:cs="Arial"/>
          <w:bCs/>
          <w:iCs/>
          <w:lang w:val="pt-PT"/>
        </w:rPr>
      </w:pPr>
      <w:r w:rsidRPr="00D161F9">
        <w:rPr>
          <w:rFonts w:ascii="Arial" w:eastAsia="Verdana" w:hAnsi="Arial" w:cs="Arial"/>
          <w:bCs/>
          <w:iCs/>
          <w:lang w:val="pt-PT"/>
        </w:rPr>
        <w:t>-  Estadual CND – referente ao ICMS.</w:t>
      </w:r>
    </w:p>
    <w:p w14:paraId="4922CA27" w14:textId="08ACC632" w:rsidR="00D161F9" w:rsidRPr="00D161F9" w:rsidRDefault="00D161F9" w:rsidP="00D161F9">
      <w:pPr>
        <w:spacing w:line="360" w:lineRule="auto"/>
        <w:jc w:val="both"/>
        <w:rPr>
          <w:rFonts w:ascii="Arial" w:hAnsi="Arial" w:cs="Arial"/>
          <w:bCs/>
          <w:iCs/>
        </w:rPr>
      </w:pPr>
      <w:r w:rsidRPr="00D161F9">
        <w:rPr>
          <w:rFonts w:ascii="Arial" w:hAnsi="Arial" w:cs="Arial"/>
          <w:bCs/>
          <w:iCs/>
        </w:rPr>
        <w:t>- A Nota Fiscal deverá conter a identificação do Banco, número da Agência e da Conta Corrente, para que possibilite o CONTRATANTE efetuar o pagamento do valor devido;</w:t>
      </w:r>
    </w:p>
    <w:p w14:paraId="0920BD9E" w14:textId="6FBF4C26" w:rsidR="00D161F9" w:rsidRPr="00D161F9" w:rsidRDefault="00D161F9" w:rsidP="00D161F9">
      <w:pPr>
        <w:pStyle w:val="PargrafodaLista"/>
        <w:numPr>
          <w:ilvl w:val="2"/>
          <w:numId w:val="15"/>
        </w:numPr>
        <w:spacing w:line="360" w:lineRule="auto"/>
        <w:ind w:left="0" w:firstLine="0"/>
        <w:jc w:val="both"/>
        <w:rPr>
          <w:rFonts w:ascii="Arial" w:hAnsi="Arial" w:cs="Arial"/>
          <w:bCs/>
          <w:iCs/>
        </w:rPr>
      </w:pPr>
      <w:r w:rsidRPr="00D161F9">
        <w:rPr>
          <w:rFonts w:ascii="Arial" w:hAnsi="Arial" w:cs="Arial"/>
          <w:bCs/>
          <w:iCs/>
        </w:rPr>
        <w:t>Na ocorrência de rejeição da(s) Nota(s) Fiscal (s), motivada por erro ou incorreções, o prazo para pagamento estipulado acima passará a ser contado a partir da data de sua reapresentação.</w:t>
      </w:r>
    </w:p>
    <w:p w14:paraId="36F6C724" w14:textId="18E4EDD3" w:rsidR="00D161F9" w:rsidRPr="00D161F9" w:rsidRDefault="00D161F9" w:rsidP="00D161F9">
      <w:pPr>
        <w:pStyle w:val="PargrafodaLista"/>
        <w:numPr>
          <w:ilvl w:val="2"/>
          <w:numId w:val="15"/>
        </w:numPr>
        <w:spacing w:line="360" w:lineRule="auto"/>
        <w:ind w:left="0" w:firstLine="0"/>
        <w:jc w:val="both"/>
        <w:rPr>
          <w:rFonts w:ascii="Arial" w:hAnsi="Arial" w:cs="Arial"/>
          <w:bCs/>
          <w:iCs/>
        </w:rPr>
      </w:pPr>
      <w:r w:rsidRPr="00D161F9">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90D9E64" w14:textId="73CDA42D" w:rsidR="00D161F9" w:rsidRPr="00D161F9" w:rsidRDefault="00D161F9" w:rsidP="00D161F9">
      <w:pPr>
        <w:pStyle w:val="PargrafodaLista"/>
        <w:numPr>
          <w:ilvl w:val="2"/>
          <w:numId w:val="15"/>
        </w:numPr>
        <w:spacing w:line="360" w:lineRule="auto"/>
        <w:ind w:left="0" w:firstLine="0"/>
        <w:jc w:val="both"/>
        <w:rPr>
          <w:rFonts w:ascii="Arial" w:hAnsi="Arial" w:cs="Arial"/>
          <w:bCs/>
          <w:iCs/>
        </w:rPr>
      </w:pPr>
      <w:r w:rsidRPr="00D161F9">
        <w:rPr>
          <w:rFonts w:ascii="Arial" w:hAnsi="Arial" w:cs="Arial"/>
          <w:bCs/>
          <w:iCs/>
        </w:rPr>
        <w:t xml:space="preserve">O pagamento será efetuado pelo Município de Nova Friburgo mediante crédito em conta-corrente da contratada, até o 30º (trigésimo) dia corrido, a contar da atestação da Nota Fiscal apresentada pela contratada, desde que cumpridas as formalidades legais e contratuais </w:t>
      </w:r>
      <w:r w:rsidRPr="00D161F9">
        <w:rPr>
          <w:rFonts w:ascii="Arial" w:hAnsi="Arial" w:cs="Arial"/>
          <w:bCs/>
          <w:iCs/>
        </w:rPr>
        <w:lastRenderedPageBreak/>
        <w:t>previstas, e de acordo com o Decreto Municipal nº 2493, de 07 de novembro de 2023.</w:t>
      </w:r>
    </w:p>
    <w:p w14:paraId="4357BEEB" w14:textId="3EFCA2DF"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7688D" w:rsidRDefault="0097688D" w:rsidP="00D161F9">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422A4E49" w:rsidR="0097688D" w:rsidRPr="00D161F9" w:rsidRDefault="0097688D" w:rsidP="00D161F9">
      <w:pPr>
        <w:pStyle w:val="PargrafodaLista"/>
        <w:widowControl/>
        <w:numPr>
          <w:ilvl w:val="1"/>
          <w:numId w:val="16"/>
        </w:numPr>
        <w:autoSpaceDE/>
        <w:autoSpaceDN/>
        <w:spacing w:before="120" w:after="120" w:line="276" w:lineRule="auto"/>
        <w:ind w:left="0" w:firstLine="0"/>
        <w:jc w:val="both"/>
        <w:rPr>
          <w:rFonts w:ascii="Arial" w:hAnsi="Arial" w:cs="Arial"/>
          <w:bCs/>
          <w:iCs/>
        </w:rPr>
      </w:pPr>
      <w:r w:rsidRPr="00D161F9">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D161F9">
        <w:rPr>
          <w:rFonts w:ascii="Arial" w:hAnsi="Arial" w:cs="Arial"/>
          <w:bCs/>
          <w:iCs/>
        </w:rPr>
        <w:t xml:space="preserve">Após o interregno de um ano, e independentemente de pedido </w:t>
      </w:r>
      <w:r w:rsidRPr="0097688D">
        <w:rPr>
          <w:rFonts w:ascii="Arial" w:hAnsi="Arial" w:cs="Arial"/>
          <w:bCs/>
          <w:iCs/>
        </w:rPr>
        <w:t xml:space="preserve">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D161F9">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D161F9"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D161F9"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161F9">
        <w:rPr>
          <w:rFonts w:ascii="Arial" w:hAnsi="Arial" w:cs="Arial"/>
          <w:bCs/>
          <w:iCs/>
          <w:lang w:val="pt-BR"/>
        </w:rPr>
        <w:t xml:space="preserve"> A Administração terá o prazo de </w:t>
      </w:r>
      <w:r w:rsidRPr="00D161F9">
        <w:rPr>
          <w:rFonts w:ascii="Arial" w:hAnsi="Arial" w:cs="Arial"/>
          <w:bCs/>
          <w:iCs/>
        </w:rPr>
        <w:t>1 (um) mês</w:t>
      </w:r>
      <w:r w:rsidRPr="00D161F9">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D161F9"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161F9">
        <w:rPr>
          <w:rFonts w:ascii="Arial" w:hAnsi="Arial" w:cs="Arial"/>
          <w:bCs/>
          <w:iCs/>
          <w:lang w:val="pt-BR"/>
        </w:rPr>
        <w:t xml:space="preserve">Responder eventuais pedidos de reestabelecimento do equilíbrio econômico-financeiro feitos pelo contratado no prazo máximo de </w:t>
      </w:r>
      <w:r w:rsidRPr="00D161F9">
        <w:rPr>
          <w:rFonts w:ascii="Arial" w:hAnsi="Arial" w:cs="Arial"/>
          <w:bCs/>
          <w:iCs/>
        </w:rPr>
        <w:t>1 (um) mês</w:t>
      </w:r>
      <w:r w:rsidRPr="00D161F9">
        <w:rPr>
          <w:rFonts w:ascii="Arial" w:hAnsi="Arial" w:cs="Arial"/>
          <w:bCs/>
          <w:iCs/>
          <w:lang w:val="pt-BR"/>
        </w:rPr>
        <w:t>.</w:t>
      </w:r>
    </w:p>
    <w:p w14:paraId="15218468" w14:textId="77777777" w:rsidR="00EA6E3C" w:rsidRPr="00EA6E3C" w:rsidRDefault="00EA6E3C"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0"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2F35831E" w:rsidR="00A27B94" w:rsidRDefault="00A27B94"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2F3E147" w14:textId="77777777" w:rsidR="00D161F9" w:rsidRPr="00A27B94" w:rsidRDefault="00D161F9" w:rsidP="00D161F9">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Default="00874B70" w:rsidP="00D161F9">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Alocar os empregados necessários ao perfeito cumprimento das cláusulas deste contrato, com habilitação e conhecimento adequados, fornecendo os materiais, </w:t>
      </w:r>
      <w:r w:rsidRPr="00DC6FCA">
        <w:rPr>
          <w:rFonts w:ascii="Arial" w:hAnsi="Arial" w:cs="Arial"/>
          <w:bCs/>
          <w:iCs/>
          <w:lang w:val="pt-BR"/>
        </w:rPr>
        <w:lastRenderedPageBreak/>
        <w:t>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1CF4DEA3" w:rsidR="008743A2" w:rsidRDefault="008743A2" w:rsidP="00D161F9">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790DD4C6" w14:textId="77777777" w:rsidR="008A0246" w:rsidRPr="00DC6FCA" w:rsidRDefault="008A0246" w:rsidP="008A0246">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577BD4BC" w14:textId="40826624" w:rsidR="00E81BCB" w:rsidRPr="009327CB" w:rsidRDefault="00E81BCB" w:rsidP="00D161F9">
      <w:pPr>
        <w:pStyle w:val="PargrafodaLista"/>
        <w:numPr>
          <w:ilvl w:val="0"/>
          <w:numId w:val="16"/>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As partes deverão cumprir a </w:t>
      </w:r>
      <w:hyperlink r:id="rId18" w:history="1">
        <w:r w:rsidRPr="008A0246">
          <w:rPr>
            <w:rFonts w:ascii="Arial" w:hAnsi="Arial" w:cs="Arial"/>
            <w:bCs/>
            <w:iCs/>
            <w:lang w:val="pt-BR"/>
          </w:rPr>
          <w:t>Lei nº 13.709, de 14 de agosto de 2018 (LGPD)</w:t>
        </w:r>
      </w:hyperlink>
      <w:r w:rsidRPr="008A0246">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8A0246">
          <w:rPr>
            <w:rFonts w:ascii="Arial" w:hAnsi="Arial" w:cs="Arial"/>
            <w:bCs/>
            <w:iCs/>
            <w:lang w:val="pt-BR"/>
          </w:rPr>
          <w:t>art. 6º da LGPD</w:t>
        </w:r>
      </w:hyperlink>
      <w:r w:rsidRPr="008A0246">
        <w:rPr>
          <w:rFonts w:ascii="Arial" w:hAnsi="Arial" w:cs="Arial"/>
          <w:bCs/>
          <w:iCs/>
          <w:lang w:val="pt-BR"/>
        </w:rPr>
        <w:t xml:space="preserve">. </w:t>
      </w:r>
    </w:p>
    <w:p w14:paraId="1BDEF7CE"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É vedado o compartilhamento com terceiros dos dados obtidos fora das hipóteses permitidas em Lei.</w:t>
      </w:r>
    </w:p>
    <w:p w14:paraId="53D54A50"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lastRenderedPageBreak/>
        <w:t xml:space="preserve">A Administração deverá ser informada no prazo de 5 (cinco) dias úteis sobre todos os contratos de </w:t>
      </w:r>
      <w:proofErr w:type="spellStart"/>
      <w:r w:rsidRPr="008A0246">
        <w:rPr>
          <w:rFonts w:ascii="Arial" w:hAnsi="Arial" w:cs="Arial"/>
          <w:bCs/>
          <w:iCs/>
          <w:lang w:val="pt-BR"/>
        </w:rPr>
        <w:t>suboperação</w:t>
      </w:r>
      <w:proofErr w:type="spellEnd"/>
      <w:r w:rsidRPr="008A0246">
        <w:rPr>
          <w:rFonts w:ascii="Arial" w:hAnsi="Arial" w:cs="Arial"/>
          <w:bCs/>
          <w:iCs/>
          <w:lang w:val="pt-BR"/>
        </w:rPr>
        <w:t xml:space="preserve"> firmados ou que venham a ser celebrados pelo Contratado. </w:t>
      </w:r>
    </w:p>
    <w:p w14:paraId="3890CCE8"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Terminado o tratamento dos dados nos termos do </w:t>
      </w:r>
      <w:hyperlink r:id="rId20" w:anchor="art15" w:history="1">
        <w:r w:rsidRPr="008A0246">
          <w:rPr>
            <w:rFonts w:ascii="Arial" w:hAnsi="Arial" w:cs="Arial"/>
            <w:bCs/>
            <w:iCs/>
            <w:lang w:val="pt-BR"/>
          </w:rPr>
          <w:t>art. 15 da LGPD</w:t>
        </w:r>
      </w:hyperlink>
      <w:r w:rsidRPr="008A0246">
        <w:rPr>
          <w:rFonts w:ascii="Arial" w:hAnsi="Arial" w:cs="Arial"/>
          <w:bCs/>
          <w:iCs/>
          <w:lang w:val="pt-BR"/>
        </w:rPr>
        <w:t xml:space="preserve">, é dever do contratado eliminá-los, com exceção das hipóteses do </w:t>
      </w:r>
      <w:hyperlink r:id="rId21" w:anchor="art16" w:history="1">
        <w:r w:rsidRPr="008A0246">
          <w:rPr>
            <w:rFonts w:ascii="Arial" w:hAnsi="Arial" w:cs="Arial"/>
            <w:bCs/>
            <w:iCs/>
            <w:lang w:val="pt-BR"/>
          </w:rPr>
          <w:t>art. 16 da LGPD</w:t>
        </w:r>
      </w:hyperlink>
      <w:r w:rsidRPr="008A0246">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O Contratado deverá exigir de </w:t>
      </w:r>
      <w:proofErr w:type="spellStart"/>
      <w:r w:rsidRPr="008A0246">
        <w:rPr>
          <w:rFonts w:ascii="Arial" w:hAnsi="Arial" w:cs="Arial"/>
          <w:bCs/>
          <w:iCs/>
          <w:lang w:val="pt-BR"/>
        </w:rPr>
        <w:t>suboperadores</w:t>
      </w:r>
      <w:proofErr w:type="spellEnd"/>
      <w:r w:rsidRPr="008A0246">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8A0246">
          <w:rPr>
            <w:rFonts w:ascii="Arial" w:hAnsi="Arial" w:cs="Arial"/>
            <w:bCs/>
            <w:iCs/>
            <w:lang w:val="pt-BR"/>
          </w:rPr>
          <w:t>LGPD, art. 37</w:t>
        </w:r>
      </w:hyperlink>
      <w:r w:rsidRPr="008A0246">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8A0246" w:rsidRDefault="00E81BCB" w:rsidP="00D161F9">
      <w:pPr>
        <w:pStyle w:val="PargrafodaLista"/>
        <w:widowControl/>
        <w:numPr>
          <w:ilvl w:val="2"/>
          <w:numId w:val="16"/>
        </w:numPr>
        <w:tabs>
          <w:tab w:val="left" w:pos="993"/>
        </w:tabs>
        <w:autoSpaceDE/>
        <w:autoSpaceDN/>
        <w:spacing w:before="120" w:after="120" w:line="276" w:lineRule="auto"/>
        <w:ind w:left="993" w:hanging="851"/>
        <w:jc w:val="both"/>
        <w:rPr>
          <w:rFonts w:ascii="Arial" w:hAnsi="Arial" w:cs="Arial"/>
          <w:bCs/>
          <w:iCs/>
          <w:lang w:val="pt-BR"/>
        </w:rPr>
      </w:pPr>
      <w:r w:rsidRPr="008A0246">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8A0246" w:rsidRDefault="00E81BCB"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A0246">
        <w:rPr>
          <w:rFonts w:ascii="Arial" w:hAnsi="Arial" w:cs="Arial"/>
          <w:bCs/>
          <w:iCs/>
          <w:lang w:val="pt-BR"/>
        </w:rPr>
        <w:t xml:space="preserve">Os contratos e convênios de que trata o </w:t>
      </w:r>
      <w:hyperlink r:id="rId23" w:anchor="art26§1" w:history="1">
        <w:r w:rsidRPr="008A0246">
          <w:rPr>
            <w:rFonts w:ascii="Arial" w:hAnsi="Arial" w:cs="Arial"/>
            <w:bCs/>
            <w:iCs/>
            <w:lang w:val="pt-BR"/>
          </w:rPr>
          <w:t>§ 1º do art. 26 da LGPD</w:t>
        </w:r>
      </w:hyperlink>
      <w:r w:rsidRPr="008A0246">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D161F9">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D161F9">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lastRenderedPageBreak/>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D161F9">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lastRenderedPageBreak/>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D161F9">
      <w:pPr>
        <w:pStyle w:val="PargrafodaLista"/>
        <w:widowControl/>
        <w:numPr>
          <w:ilvl w:val="2"/>
          <w:numId w:val="16"/>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D161F9">
      <w:pPr>
        <w:pStyle w:val="PargrafodaLista"/>
        <w:widowControl/>
        <w:numPr>
          <w:ilvl w:val="2"/>
          <w:numId w:val="16"/>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D161F9">
      <w:pPr>
        <w:pStyle w:val="PargrafodaLista"/>
        <w:widowControl/>
        <w:numPr>
          <w:ilvl w:val="2"/>
          <w:numId w:val="16"/>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D161F9">
      <w:pPr>
        <w:pStyle w:val="PargrafodaLista"/>
        <w:widowControl/>
        <w:numPr>
          <w:ilvl w:val="2"/>
          <w:numId w:val="16"/>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rPr>
          <w:i/>
          <w:iCs/>
        </w:rPr>
      </w:pPr>
      <w:r w:rsidRPr="00DE2273">
        <w:rPr>
          <w:rFonts w:ascii="Arial" w:eastAsia="Arial" w:hAnsi="Arial" w:cs="Arial"/>
        </w:rPr>
        <w:lastRenderedPageBreak/>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D161F9">
      <w:pPr>
        <w:pStyle w:val="PargrafodaLista"/>
        <w:widowControl/>
        <w:numPr>
          <w:ilvl w:val="1"/>
          <w:numId w:val="16"/>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D161F9">
      <w:pPr>
        <w:pStyle w:val="Nivel01"/>
        <w:numPr>
          <w:ilvl w:val="0"/>
          <w:numId w:val="16"/>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D161F9">
      <w:pPr>
        <w:pStyle w:val="PargrafodaLista"/>
        <w:widowControl/>
        <w:numPr>
          <w:ilvl w:val="1"/>
          <w:numId w:val="16"/>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A alteração social ou a modificação da finalidade ou da estrutura da empresa não ensejará a extinção se não restringir sua capacidade de concluir o contrato.</w:t>
      </w:r>
    </w:p>
    <w:p w14:paraId="62709D8D"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D161F9">
      <w:pPr>
        <w:pStyle w:val="PargrafodaLista"/>
        <w:widowControl/>
        <w:numPr>
          <w:ilvl w:val="1"/>
          <w:numId w:val="16"/>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D161F9">
      <w:pPr>
        <w:pStyle w:val="PargrafodaLista"/>
        <w:widowControl/>
        <w:numPr>
          <w:ilvl w:val="1"/>
          <w:numId w:val="16"/>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C24F812" w:rsidR="002E43FD" w:rsidRDefault="002E43FD" w:rsidP="00D161F9">
      <w:pPr>
        <w:pStyle w:val="Nivel01"/>
        <w:numPr>
          <w:ilvl w:val="0"/>
          <w:numId w:val="16"/>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5A498B78" w14:textId="2DBFF7FA" w:rsidR="008A0246" w:rsidRPr="008A0246" w:rsidRDefault="008A0246" w:rsidP="008A0246">
      <w:pPr>
        <w:pStyle w:val="PargrafodaLista"/>
        <w:numPr>
          <w:ilvl w:val="1"/>
          <w:numId w:val="16"/>
        </w:numPr>
        <w:spacing w:line="276" w:lineRule="auto"/>
        <w:ind w:left="0" w:firstLine="0"/>
        <w:jc w:val="both"/>
        <w:rPr>
          <w:rFonts w:ascii="Arial" w:eastAsia="Arial" w:hAnsi="Arial" w:cs="Arial"/>
        </w:rPr>
      </w:pPr>
      <w:r w:rsidRPr="008A0246">
        <w:rPr>
          <w:rFonts w:ascii="Arial" w:eastAsia="Arial" w:hAnsi="Arial" w:cs="Arial"/>
        </w:rPr>
        <w:t>As despesas decorrentes da presente contratação correrão à conta de recursos específicos consignados no Orçamento do Município, na forma abaixo:</w:t>
      </w:r>
    </w:p>
    <w:p w14:paraId="52785781" w14:textId="77777777" w:rsidR="008A0246" w:rsidRPr="008A0246" w:rsidRDefault="008A0246" w:rsidP="008A0246">
      <w:pPr>
        <w:spacing w:line="276" w:lineRule="auto"/>
        <w:jc w:val="both"/>
        <w:rPr>
          <w:rFonts w:ascii="Arial" w:eastAsia="Arial" w:hAnsi="Arial" w:cs="Arial"/>
        </w:rPr>
      </w:pPr>
    </w:p>
    <w:tbl>
      <w:tblPr>
        <w:tblW w:w="9384" w:type="dxa"/>
        <w:jc w:val="center"/>
        <w:tblLayout w:type="fixed"/>
        <w:tblCellMar>
          <w:left w:w="10" w:type="dxa"/>
          <w:right w:w="10" w:type="dxa"/>
        </w:tblCellMar>
        <w:tblLook w:val="0000" w:firstRow="0" w:lastRow="0" w:firstColumn="0" w:lastColumn="0" w:noHBand="0" w:noVBand="0"/>
      </w:tblPr>
      <w:tblGrid>
        <w:gridCol w:w="2834"/>
        <w:gridCol w:w="2587"/>
        <w:gridCol w:w="1825"/>
        <w:gridCol w:w="2138"/>
      </w:tblGrid>
      <w:tr w:rsidR="008A0246" w:rsidRPr="008A0246" w14:paraId="1C232EB7" w14:textId="77777777" w:rsidTr="00511C35">
        <w:trPr>
          <w:trHeight w:val="400"/>
          <w:jc w:val="center"/>
        </w:trPr>
        <w:tc>
          <w:tcPr>
            <w:tcW w:w="2834"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6DC1D2B1"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Órgão/Unidade Orçamentária</w:t>
            </w:r>
          </w:p>
        </w:tc>
        <w:tc>
          <w:tcPr>
            <w:tcW w:w="2587"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3FBCC08B"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Programa de Trabalho</w:t>
            </w:r>
          </w:p>
        </w:tc>
        <w:tc>
          <w:tcPr>
            <w:tcW w:w="1825"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4733723B"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Fonte de Recursos</w:t>
            </w:r>
          </w:p>
        </w:tc>
        <w:tc>
          <w:tcPr>
            <w:tcW w:w="2138" w:type="dxa"/>
            <w:tcBorders>
              <w:top w:val="single" w:sz="4" w:space="0" w:color="000000"/>
              <w:left w:val="single" w:sz="4" w:space="0" w:color="000000"/>
              <w:bottom w:val="single" w:sz="4" w:space="0" w:color="000000"/>
              <w:right w:val="single" w:sz="4" w:space="0" w:color="000000"/>
            </w:tcBorders>
            <w:shd w:val="clear" w:color="auto" w:fill="DDDDDD"/>
            <w:tcMar>
              <w:top w:w="0" w:type="dxa"/>
              <w:left w:w="108" w:type="dxa"/>
              <w:bottom w:w="0" w:type="dxa"/>
              <w:right w:w="108" w:type="dxa"/>
            </w:tcMar>
            <w:vAlign w:val="center"/>
          </w:tcPr>
          <w:p w14:paraId="1BB22431"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Natureza da Despesa</w:t>
            </w:r>
          </w:p>
        </w:tc>
      </w:tr>
      <w:tr w:rsidR="008A0246" w:rsidRPr="008A0246" w14:paraId="4063E476" w14:textId="77777777" w:rsidTr="00511C35">
        <w:trPr>
          <w:jc w:val="center"/>
        </w:trPr>
        <w:tc>
          <w:tcPr>
            <w:tcW w:w="2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3DDD4"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Hospital Municipal Raul Sertã</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1BC19"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30001.1030200852.202</w:t>
            </w:r>
          </w:p>
        </w:tc>
        <w:tc>
          <w:tcPr>
            <w:tcW w:w="18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9D9C2"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1600</w:t>
            </w:r>
          </w:p>
        </w:tc>
        <w:tc>
          <w:tcPr>
            <w:tcW w:w="21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3B6AD" w14:textId="77777777" w:rsidR="008A0246" w:rsidRPr="008A0246" w:rsidRDefault="008A0246" w:rsidP="008A0246">
            <w:pPr>
              <w:pStyle w:val="PargrafodaLista"/>
              <w:spacing w:line="276" w:lineRule="auto"/>
              <w:ind w:left="0"/>
              <w:jc w:val="center"/>
              <w:rPr>
                <w:rFonts w:ascii="Arial" w:eastAsia="Arial" w:hAnsi="Arial" w:cs="Arial"/>
              </w:rPr>
            </w:pPr>
            <w:r w:rsidRPr="008A0246">
              <w:rPr>
                <w:rFonts w:ascii="Arial" w:eastAsia="Arial" w:hAnsi="Arial" w:cs="Arial"/>
              </w:rPr>
              <w:t>33.90.39-89</w:t>
            </w:r>
          </w:p>
        </w:tc>
      </w:tr>
    </w:tbl>
    <w:p w14:paraId="6895CD63" w14:textId="790DB9B3" w:rsidR="008A0246" w:rsidRPr="008A0246" w:rsidRDefault="008A0246" w:rsidP="008A0246">
      <w:pPr>
        <w:pStyle w:val="PargrafodaLista"/>
        <w:numPr>
          <w:ilvl w:val="1"/>
          <w:numId w:val="16"/>
        </w:numPr>
        <w:spacing w:line="276" w:lineRule="auto"/>
        <w:ind w:left="0" w:firstLine="0"/>
        <w:jc w:val="both"/>
        <w:rPr>
          <w:rFonts w:ascii="Arial" w:eastAsia="Arial" w:hAnsi="Arial" w:cs="Arial"/>
        </w:rPr>
      </w:pPr>
      <w:r w:rsidRPr="008A0246">
        <w:rPr>
          <w:rFonts w:ascii="Arial" w:eastAsia="Arial" w:hAnsi="Arial" w:cs="Arial"/>
        </w:rPr>
        <w:t>As notas fiscais de serviço deverão ser emitidas em nome do Fundo Municipal de Saúde – CNPJ 11.399.442/0001-79, endereço: Avenida Alberto Braune, 224, 2º andar/sala 221 – Centro/NF-CEP 28613-000.</w:t>
      </w:r>
    </w:p>
    <w:p w14:paraId="3D024C47" w14:textId="719E9237" w:rsidR="008A0246" w:rsidRPr="008A0246" w:rsidRDefault="008A0246" w:rsidP="008A0246">
      <w:pPr>
        <w:pStyle w:val="PargrafodaLista"/>
        <w:numPr>
          <w:ilvl w:val="1"/>
          <w:numId w:val="16"/>
        </w:numPr>
        <w:spacing w:line="276" w:lineRule="auto"/>
        <w:ind w:left="0" w:firstLine="0"/>
        <w:jc w:val="both"/>
        <w:rPr>
          <w:rFonts w:ascii="Arial" w:eastAsia="Arial" w:hAnsi="Arial" w:cs="Arial"/>
        </w:rPr>
      </w:pPr>
      <w:r w:rsidRPr="008A0246">
        <w:rPr>
          <w:rFonts w:ascii="Arial" w:eastAsia="Arial" w:hAnsi="Arial" w:cs="Arial"/>
        </w:rPr>
        <w:t>A dotação relativa aos exercícios financeiros subsequentes será indicada após aprovação da Lei Orçamentária respectiva e liberação dos créditos correspondentes, mediante apostilamento.</w:t>
      </w:r>
    </w:p>
    <w:p w14:paraId="120C7BB4" w14:textId="6AA66F16" w:rsidR="00D90EA5" w:rsidRDefault="00D90EA5" w:rsidP="00D161F9">
      <w:pPr>
        <w:pStyle w:val="Nivel01"/>
        <w:numPr>
          <w:ilvl w:val="0"/>
          <w:numId w:val="16"/>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D161F9">
      <w:pPr>
        <w:pStyle w:val="PargrafodaLista"/>
        <w:numPr>
          <w:ilvl w:val="1"/>
          <w:numId w:val="16"/>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D161F9">
      <w:pPr>
        <w:pStyle w:val="PargrafodaLista"/>
        <w:numPr>
          <w:ilvl w:val="1"/>
          <w:numId w:val="16"/>
        </w:numPr>
        <w:tabs>
          <w:tab w:val="left" w:pos="426"/>
        </w:tabs>
        <w:ind w:left="0" w:firstLine="0"/>
        <w:jc w:val="both"/>
        <w:rPr>
          <w:rFonts w:ascii="Arial" w:eastAsia="Arial" w:hAnsi="Arial" w:cs="Arial"/>
        </w:rPr>
      </w:pPr>
      <w:r w:rsidRPr="00DE2273">
        <w:rPr>
          <w:rFonts w:ascii="Arial" w:eastAsia="Arial" w:hAnsi="Arial" w:cs="Arial"/>
        </w:rPr>
        <w:t xml:space="preserve">O contratado é obrigado a aceitar, nas mesmas condições contratuais, os acréscimos ou supressões que se fizerem necessários, até o limite de 25% (vinte e cinco por cento) do </w:t>
      </w:r>
      <w:r w:rsidRPr="00DE2273">
        <w:rPr>
          <w:rFonts w:ascii="Arial" w:eastAsia="Arial" w:hAnsi="Arial" w:cs="Arial"/>
        </w:rPr>
        <w:lastRenderedPageBreak/>
        <w:t>valor inicial atualizado do contrato.</w:t>
      </w:r>
    </w:p>
    <w:p w14:paraId="4AC4B385" w14:textId="77777777" w:rsidR="00D90EA5" w:rsidRPr="00DE2273" w:rsidRDefault="00D90EA5" w:rsidP="00D161F9">
      <w:pPr>
        <w:pStyle w:val="PargrafodaLista"/>
        <w:numPr>
          <w:ilvl w:val="1"/>
          <w:numId w:val="16"/>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D161F9">
      <w:pPr>
        <w:pStyle w:val="PargrafodaLista"/>
        <w:numPr>
          <w:ilvl w:val="1"/>
          <w:numId w:val="16"/>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D161F9">
      <w:pPr>
        <w:pStyle w:val="Nivel010"/>
        <w:numPr>
          <w:ilvl w:val="0"/>
          <w:numId w:val="16"/>
        </w:numPr>
        <w:rPr>
          <w:color w:val="FFFFFF" w:themeColor="background1"/>
          <w:sz w:val="22"/>
          <w:szCs w:val="22"/>
        </w:rPr>
      </w:pPr>
      <w:r w:rsidRPr="00E04B75">
        <w:rPr>
          <w:sz w:val="22"/>
          <w:szCs w:val="22"/>
        </w:rPr>
        <w:t>CLÁUSULA DÉCIMA SEXTA – PUBLICAÇÃO</w:t>
      </w:r>
    </w:p>
    <w:p w14:paraId="6D2C9166" w14:textId="4271B3D6" w:rsidR="00885E3B" w:rsidRDefault="00885E3B" w:rsidP="00D161F9">
      <w:pPr>
        <w:pStyle w:val="PargrafodaLista"/>
        <w:numPr>
          <w:ilvl w:val="1"/>
          <w:numId w:val="16"/>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D161F9">
      <w:pPr>
        <w:pStyle w:val="Nivel010"/>
        <w:numPr>
          <w:ilvl w:val="0"/>
          <w:numId w:val="16"/>
        </w:numPr>
        <w:rPr>
          <w:sz w:val="22"/>
          <w:szCs w:val="22"/>
        </w:rPr>
      </w:pPr>
      <w:r w:rsidRPr="00C80C6C">
        <w:rPr>
          <w:sz w:val="22"/>
          <w:szCs w:val="22"/>
        </w:rPr>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D161F9">
      <w:pPr>
        <w:pStyle w:val="PargrafodaLista"/>
        <w:numPr>
          <w:ilvl w:val="1"/>
          <w:numId w:val="16"/>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E8A3F0A" w:rsidR="001D32DF" w:rsidRDefault="001D32DF" w:rsidP="00D161F9">
      <w:pPr>
        <w:pStyle w:val="PargrafodaLista"/>
        <w:numPr>
          <w:ilvl w:val="1"/>
          <w:numId w:val="16"/>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78A1587E" w14:textId="77777777" w:rsidR="008A0246" w:rsidRPr="009872FB" w:rsidRDefault="008A0246" w:rsidP="008A0246">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4"/>
      <w:footerReference w:type="defaul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307D1" w14:textId="77777777" w:rsidR="00D144E9" w:rsidRDefault="00D144E9">
      <w:r>
        <w:separator/>
      </w:r>
    </w:p>
  </w:endnote>
  <w:endnote w:type="continuationSeparator" w:id="0">
    <w:p w14:paraId="4B5F35EE" w14:textId="77777777" w:rsidR="00D144E9" w:rsidRDefault="00D1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2AAB0" w14:textId="77777777" w:rsidR="00D144E9" w:rsidRDefault="00D144E9">
      <w:r>
        <w:separator/>
      </w:r>
    </w:p>
  </w:footnote>
  <w:footnote w:type="continuationSeparator" w:id="0">
    <w:p w14:paraId="483E0D04" w14:textId="77777777" w:rsidR="00D144E9" w:rsidRDefault="00D14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4" w:name="_Hlk163549712"/>
    <w:bookmarkStart w:id="5"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4"/>
    <w:bookmarkEnd w:id="5"/>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0A53250"/>
    <w:multiLevelType w:val="multilevel"/>
    <w:tmpl w:val="C2F4B00C"/>
    <w:lvl w:ilvl="0">
      <w:start w:val="3"/>
      <w:numFmt w:val="decimal"/>
      <w:lvlText w:val="%1"/>
      <w:lvlJc w:val="left"/>
      <w:pPr>
        <w:ind w:left="405" w:hanging="405"/>
      </w:pPr>
      <w:rPr>
        <w:rFonts w:ascii="Arial" w:hAnsi="Arial" w:cs="Arial" w:hint="default"/>
        <w:sz w:val="22"/>
        <w:szCs w:val="22"/>
      </w:rPr>
    </w:lvl>
    <w:lvl w:ilvl="1">
      <w:start w:val="1"/>
      <w:numFmt w:val="decimal"/>
      <w:lvlText w:val="%1.%2"/>
      <w:lvlJc w:val="left"/>
      <w:pPr>
        <w:ind w:left="720" w:hanging="720"/>
      </w:pPr>
      <w:rPr>
        <w:rFonts w:ascii="Arial" w:hAnsi="Arial" w:cs="Arial" w:hint="default"/>
        <w:sz w:val="22"/>
        <w:szCs w:val="22"/>
      </w:rPr>
    </w:lvl>
    <w:lvl w:ilvl="2">
      <w:start w:val="6"/>
      <w:numFmt w:val="decimal"/>
      <w:lvlText w:val="%1.%2.%3"/>
      <w:lvlJc w:val="left"/>
      <w:pPr>
        <w:ind w:left="720" w:hanging="720"/>
      </w:pPr>
      <w:rPr>
        <w:rFonts w:ascii="Calibri" w:hAnsi="Calibri" w:cs="Calibri" w:hint="default"/>
        <w:sz w:val="20"/>
      </w:rPr>
    </w:lvl>
    <w:lvl w:ilvl="3">
      <w:start w:val="1"/>
      <w:numFmt w:val="decimal"/>
      <w:lvlText w:val="%1.%2.%3.%4"/>
      <w:lvlJc w:val="left"/>
      <w:pPr>
        <w:ind w:left="1080" w:hanging="1080"/>
      </w:pPr>
      <w:rPr>
        <w:rFonts w:ascii="Calibri" w:hAnsi="Calibri" w:cs="Calibri" w:hint="default"/>
        <w:sz w:val="20"/>
      </w:rPr>
    </w:lvl>
    <w:lvl w:ilvl="4">
      <w:start w:val="1"/>
      <w:numFmt w:val="decimal"/>
      <w:lvlText w:val="%1.%2.%3.%4.%5"/>
      <w:lvlJc w:val="left"/>
      <w:pPr>
        <w:ind w:left="1440" w:hanging="1440"/>
      </w:pPr>
      <w:rPr>
        <w:rFonts w:ascii="Calibri" w:hAnsi="Calibri" w:cs="Calibri" w:hint="default"/>
        <w:sz w:val="20"/>
      </w:rPr>
    </w:lvl>
    <w:lvl w:ilvl="5">
      <w:start w:val="1"/>
      <w:numFmt w:val="decimal"/>
      <w:lvlText w:val="%1.%2.%3.%4.%5.%6"/>
      <w:lvlJc w:val="left"/>
      <w:pPr>
        <w:ind w:left="1800" w:hanging="1800"/>
      </w:pPr>
      <w:rPr>
        <w:rFonts w:ascii="Calibri" w:hAnsi="Calibri" w:cs="Calibri" w:hint="default"/>
        <w:sz w:val="20"/>
      </w:rPr>
    </w:lvl>
    <w:lvl w:ilvl="6">
      <w:start w:val="1"/>
      <w:numFmt w:val="decimal"/>
      <w:lvlText w:val="%1.%2.%3.%4.%5.%6.%7"/>
      <w:lvlJc w:val="left"/>
      <w:pPr>
        <w:ind w:left="1800" w:hanging="1800"/>
      </w:pPr>
      <w:rPr>
        <w:rFonts w:ascii="Calibri" w:hAnsi="Calibri" w:cs="Calibri" w:hint="default"/>
        <w:sz w:val="20"/>
      </w:rPr>
    </w:lvl>
    <w:lvl w:ilvl="7">
      <w:start w:val="1"/>
      <w:numFmt w:val="decimal"/>
      <w:lvlText w:val="%1.%2.%3.%4.%5.%6.%7.%8"/>
      <w:lvlJc w:val="left"/>
      <w:pPr>
        <w:ind w:left="2160" w:hanging="2160"/>
      </w:pPr>
      <w:rPr>
        <w:rFonts w:ascii="Calibri" w:hAnsi="Calibri" w:cs="Calibri" w:hint="default"/>
        <w:sz w:val="20"/>
      </w:rPr>
    </w:lvl>
    <w:lvl w:ilvl="8">
      <w:start w:val="1"/>
      <w:numFmt w:val="decimal"/>
      <w:lvlText w:val="%1.%2.%3.%4.%5.%6.%7.%8.%9"/>
      <w:lvlJc w:val="left"/>
      <w:pPr>
        <w:ind w:left="2520" w:hanging="2520"/>
      </w:pPr>
      <w:rPr>
        <w:rFonts w:ascii="Calibri" w:hAnsi="Calibri" w:cs="Calibri" w:hint="default"/>
        <w:sz w:val="20"/>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08355C"/>
    <w:multiLevelType w:val="multilevel"/>
    <w:tmpl w:val="9F26F410"/>
    <w:lvl w:ilvl="0">
      <w:start w:val="5"/>
      <w:numFmt w:val="decimal"/>
      <w:lvlText w:val="%1"/>
      <w:lvlJc w:val="left"/>
      <w:pPr>
        <w:ind w:left="360" w:hanging="360"/>
      </w:pPr>
      <w:rPr>
        <w:color w:val="auto"/>
      </w:rPr>
    </w:lvl>
    <w:lvl w:ilvl="1">
      <w:start w:val="6"/>
      <w:numFmt w:val="decimal"/>
      <w:lvlText w:val="%1.%2"/>
      <w:lvlJc w:val="left"/>
      <w:pPr>
        <w:ind w:left="360" w:hanging="36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89F17B7"/>
    <w:multiLevelType w:val="multilevel"/>
    <w:tmpl w:val="1E4CD004"/>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6C095CE0"/>
    <w:multiLevelType w:val="multilevel"/>
    <w:tmpl w:val="F122704E"/>
    <w:lvl w:ilvl="0">
      <w:start w:val="7"/>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75D24180"/>
    <w:multiLevelType w:val="multilevel"/>
    <w:tmpl w:val="D1983656"/>
    <w:lvl w:ilvl="0">
      <w:start w:val="6"/>
      <w:numFmt w:val="decimal"/>
      <w:lvlText w:val="%1"/>
      <w:lvlJc w:val="left"/>
      <w:pPr>
        <w:ind w:left="405" w:hanging="405"/>
      </w:pPr>
      <w:rPr>
        <w:rFonts w:ascii="Arial" w:hAnsi="Arial" w:cs="Arial" w:hint="default"/>
        <w:color w:val="000000"/>
        <w:sz w:val="22"/>
        <w:szCs w:val="22"/>
      </w:rPr>
    </w:lvl>
    <w:lvl w:ilvl="1">
      <w:start w:val="3"/>
      <w:numFmt w:val="decimal"/>
      <w:lvlText w:val="%1.%2"/>
      <w:lvlJc w:val="left"/>
      <w:pPr>
        <w:ind w:left="720" w:hanging="720"/>
      </w:pPr>
      <w:rPr>
        <w:rFonts w:ascii="Arial" w:hAnsi="Arial" w:cs="Arial" w:hint="default"/>
        <w:color w:val="000000"/>
        <w:sz w:val="22"/>
        <w:szCs w:val="22"/>
      </w:rPr>
    </w:lvl>
    <w:lvl w:ilvl="2">
      <w:start w:val="1"/>
      <w:numFmt w:val="decimal"/>
      <w:lvlText w:val="%1.%2.%3"/>
      <w:lvlJc w:val="left"/>
      <w:pPr>
        <w:ind w:left="720" w:hanging="720"/>
      </w:pPr>
      <w:rPr>
        <w:rFonts w:ascii="Arial" w:hAnsi="Arial" w:cs="Arial" w:hint="default"/>
        <w:color w:val="000000"/>
        <w:sz w:val="22"/>
        <w:szCs w:val="22"/>
      </w:rPr>
    </w:lvl>
    <w:lvl w:ilvl="3">
      <w:start w:val="1"/>
      <w:numFmt w:val="decimal"/>
      <w:lvlText w:val="%1.%2.%3.%4"/>
      <w:lvlJc w:val="left"/>
      <w:pPr>
        <w:ind w:left="1080" w:hanging="1080"/>
      </w:pPr>
      <w:rPr>
        <w:rFonts w:ascii="Calibri" w:hAnsi="Calibri" w:cs="Calibri" w:hint="default"/>
        <w:color w:val="000000"/>
        <w:sz w:val="20"/>
      </w:rPr>
    </w:lvl>
    <w:lvl w:ilvl="4">
      <w:start w:val="1"/>
      <w:numFmt w:val="decimal"/>
      <w:lvlText w:val="%1.%2.%3.%4.%5"/>
      <w:lvlJc w:val="left"/>
      <w:pPr>
        <w:ind w:left="1440" w:hanging="1440"/>
      </w:pPr>
      <w:rPr>
        <w:rFonts w:ascii="Calibri" w:hAnsi="Calibri" w:cs="Calibri" w:hint="default"/>
        <w:color w:val="000000"/>
        <w:sz w:val="20"/>
      </w:rPr>
    </w:lvl>
    <w:lvl w:ilvl="5">
      <w:start w:val="1"/>
      <w:numFmt w:val="decimal"/>
      <w:lvlText w:val="%1.%2.%3.%4.%5.%6"/>
      <w:lvlJc w:val="left"/>
      <w:pPr>
        <w:ind w:left="1800" w:hanging="1800"/>
      </w:pPr>
      <w:rPr>
        <w:rFonts w:ascii="Calibri" w:hAnsi="Calibri" w:cs="Calibri" w:hint="default"/>
        <w:color w:val="000000"/>
        <w:sz w:val="20"/>
      </w:rPr>
    </w:lvl>
    <w:lvl w:ilvl="6">
      <w:start w:val="1"/>
      <w:numFmt w:val="decimal"/>
      <w:lvlText w:val="%1.%2.%3.%4.%5.%6.%7"/>
      <w:lvlJc w:val="left"/>
      <w:pPr>
        <w:ind w:left="1800" w:hanging="1800"/>
      </w:pPr>
      <w:rPr>
        <w:rFonts w:ascii="Calibri" w:hAnsi="Calibri" w:cs="Calibri" w:hint="default"/>
        <w:color w:val="000000"/>
        <w:sz w:val="20"/>
      </w:rPr>
    </w:lvl>
    <w:lvl w:ilvl="7">
      <w:start w:val="1"/>
      <w:numFmt w:val="decimal"/>
      <w:lvlText w:val="%1.%2.%3.%4.%5.%6.%7.%8"/>
      <w:lvlJc w:val="left"/>
      <w:pPr>
        <w:ind w:left="2160" w:hanging="2160"/>
      </w:pPr>
      <w:rPr>
        <w:rFonts w:ascii="Calibri" w:hAnsi="Calibri" w:cs="Calibri" w:hint="default"/>
        <w:color w:val="000000"/>
        <w:sz w:val="20"/>
      </w:rPr>
    </w:lvl>
    <w:lvl w:ilvl="8">
      <w:start w:val="1"/>
      <w:numFmt w:val="decimal"/>
      <w:lvlText w:val="%1.%2.%3.%4.%5.%6.%7.%8.%9"/>
      <w:lvlJc w:val="left"/>
      <w:pPr>
        <w:ind w:left="2520" w:hanging="2520"/>
      </w:pPr>
      <w:rPr>
        <w:rFonts w:ascii="Calibri" w:hAnsi="Calibri" w:cs="Calibri" w:hint="default"/>
        <w:color w:val="000000"/>
        <w:sz w:val="20"/>
      </w:rPr>
    </w:lvl>
  </w:abstractNum>
  <w:abstractNum w:abstractNumId="13" w15:restartNumberingAfterBreak="0">
    <w:nsid w:val="7E641499"/>
    <w:multiLevelType w:val="multilevel"/>
    <w:tmpl w:val="D1006B2E"/>
    <w:styleLink w:val="WWNum12"/>
    <w:lvl w:ilvl="0">
      <w:numFmt w:val="bullet"/>
      <w:lvlText w:val=""/>
      <w:lvlJc w:val="left"/>
      <w:pPr>
        <w:ind w:left="792" w:hanging="360"/>
      </w:pPr>
      <w:rPr>
        <w:rFonts w:ascii="Symbol" w:eastAsia="Times New Roman" w:hAnsi="Symbol" w:cs="Calibri"/>
      </w:rPr>
    </w:lvl>
    <w:lvl w:ilvl="1">
      <w:numFmt w:val="bullet"/>
      <w:lvlText w:val="o"/>
      <w:lvlJc w:val="left"/>
      <w:pPr>
        <w:ind w:left="1512" w:hanging="360"/>
      </w:pPr>
      <w:rPr>
        <w:rFonts w:ascii="Courier New" w:hAnsi="Courier New" w:cs="Courier New"/>
      </w:rPr>
    </w:lvl>
    <w:lvl w:ilvl="2">
      <w:numFmt w:val="bullet"/>
      <w:lvlText w:val=""/>
      <w:lvlJc w:val="left"/>
      <w:pPr>
        <w:ind w:left="2232" w:hanging="360"/>
      </w:pPr>
      <w:rPr>
        <w:rFonts w:ascii="Wingdings" w:hAnsi="Wingdings"/>
      </w:rPr>
    </w:lvl>
    <w:lvl w:ilvl="3">
      <w:numFmt w:val="bullet"/>
      <w:lvlText w:val=""/>
      <w:lvlJc w:val="left"/>
      <w:pPr>
        <w:ind w:left="2952" w:hanging="360"/>
      </w:pPr>
      <w:rPr>
        <w:rFonts w:ascii="Symbol" w:hAnsi="Symbol"/>
      </w:rPr>
    </w:lvl>
    <w:lvl w:ilvl="4">
      <w:numFmt w:val="bullet"/>
      <w:lvlText w:val="o"/>
      <w:lvlJc w:val="left"/>
      <w:pPr>
        <w:ind w:left="3672" w:hanging="360"/>
      </w:pPr>
      <w:rPr>
        <w:rFonts w:ascii="Courier New" w:hAnsi="Courier New" w:cs="Courier New"/>
      </w:rPr>
    </w:lvl>
    <w:lvl w:ilvl="5">
      <w:numFmt w:val="bullet"/>
      <w:lvlText w:val=""/>
      <w:lvlJc w:val="left"/>
      <w:pPr>
        <w:ind w:left="4392" w:hanging="360"/>
      </w:pPr>
      <w:rPr>
        <w:rFonts w:ascii="Wingdings" w:hAnsi="Wingdings"/>
      </w:rPr>
    </w:lvl>
    <w:lvl w:ilvl="6">
      <w:numFmt w:val="bullet"/>
      <w:lvlText w:val=""/>
      <w:lvlJc w:val="left"/>
      <w:pPr>
        <w:ind w:left="5112" w:hanging="360"/>
      </w:pPr>
      <w:rPr>
        <w:rFonts w:ascii="Symbol" w:hAnsi="Symbol"/>
      </w:rPr>
    </w:lvl>
    <w:lvl w:ilvl="7">
      <w:numFmt w:val="bullet"/>
      <w:lvlText w:val="o"/>
      <w:lvlJc w:val="left"/>
      <w:pPr>
        <w:ind w:left="5832" w:hanging="360"/>
      </w:pPr>
      <w:rPr>
        <w:rFonts w:ascii="Courier New" w:hAnsi="Courier New" w:cs="Courier New"/>
      </w:rPr>
    </w:lvl>
    <w:lvl w:ilvl="8">
      <w:numFmt w:val="bullet"/>
      <w:lvlText w:val=""/>
      <w:lvlJc w:val="left"/>
      <w:pPr>
        <w:ind w:left="6552" w:hanging="360"/>
      </w:pPr>
      <w:rPr>
        <w:rFonts w:ascii="Wingdings" w:hAnsi="Wingdings"/>
      </w:r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7F215959"/>
    <w:multiLevelType w:val="multilevel"/>
    <w:tmpl w:val="A5A08EC6"/>
    <w:lvl w:ilvl="0">
      <w:start w:val="6"/>
      <w:numFmt w:val="decimal"/>
      <w:lvlText w:val="%1"/>
      <w:lvlJc w:val="left"/>
      <w:pPr>
        <w:ind w:left="405" w:hanging="405"/>
      </w:pPr>
      <w:rPr>
        <w:rFonts w:ascii="Calibri" w:hAnsi="Calibri" w:cs="Calibri" w:hint="default"/>
        <w:color w:val="000000"/>
        <w:sz w:val="20"/>
      </w:rPr>
    </w:lvl>
    <w:lvl w:ilvl="1">
      <w:start w:val="2"/>
      <w:numFmt w:val="decimal"/>
      <w:lvlText w:val="%1.%2"/>
      <w:lvlJc w:val="left"/>
      <w:pPr>
        <w:ind w:left="720" w:hanging="720"/>
      </w:pPr>
      <w:rPr>
        <w:rFonts w:ascii="Arial" w:hAnsi="Arial" w:cs="Arial" w:hint="default"/>
        <w:color w:val="000000"/>
        <w:sz w:val="22"/>
        <w:szCs w:val="22"/>
      </w:rPr>
    </w:lvl>
    <w:lvl w:ilvl="2">
      <w:start w:val="1"/>
      <w:numFmt w:val="decimal"/>
      <w:lvlText w:val="%1.%2.%3"/>
      <w:lvlJc w:val="left"/>
      <w:pPr>
        <w:ind w:left="720" w:hanging="720"/>
      </w:pPr>
      <w:rPr>
        <w:rFonts w:ascii="Arial" w:hAnsi="Arial" w:cs="Arial" w:hint="default"/>
        <w:color w:val="000000"/>
        <w:sz w:val="22"/>
        <w:szCs w:val="22"/>
      </w:rPr>
    </w:lvl>
    <w:lvl w:ilvl="3">
      <w:start w:val="1"/>
      <w:numFmt w:val="decimal"/>
      <w:lvlText w:val="%1.%2.%3.%4"/>
      <w:lvlJc w:val="left"/>
      <w:pPr>
        <w:ind w:left="1080" w:hanging="1080"/>
      </w:pPr>
      <w:rPr>
        <w:rFonts w:ascii="Calibri" w:hAnsi="Calibri" w:cs="Calibri" w:hint="default"/>
        <w:color w:val="000000"/>
        <w:sz w:val="20"/>
      </w:rPr>
    </w:lvl>
    <w:lvl w:ilvl="4">
      <w:start w:val="1"/>
      <w:numFmt w:val="decimal"/>
      <w:lvlText w:val="%1.%2.%3.%4.%5"/>
      <w:lvlJc w:val="left"/>
      <w:pPr>
        <w:ind w:left="1440" w:hanging="1440"/>
      </w:pPr>
      <w:rPr>
        <w:rFonts w:ascii="Calibri" w:hAnsi="Calibri" w:cs="Calibri" w:hint="default"/>
        <w:color w:val="000000"/>
        <w:sz w:val="20"/>
      </w:rPr>
    </w:lvl>
    <w:lvl w:ilvl="5">
      <w:start w:val="1"/>
      <w:numFmt w:val="decimal"/>
      <w:lvlText w:val="%1.%2.%3.%4.%5.%6"/>
      <w:lvlJc w:val="left"/>
      <w:pPr>
        <w:ind w:left="1800" w:hanging="1800"/>
      </w:pPr>
      <w:rPr>
        <w:rFonts w:ascii="Calibri" w:hAnsi="Calibri" w:cs="Calibri" w:hint="default"/>
        <w:color w:val="000000"/>
        <w:sz w:val="20"/>
      </w:rPr>
    </w:lvl>
    <w:lvl w:ilvl="6">
      <w:start w:val="1"/>
      <w:numFmt w:val="decimal"/>
      <w:lvlText w:val="%1.%2.%3.%4.%5.%6.%7"/>
      <w:lvlJc w:val="left"/>
      <w:pPr>
        <w:ind w:left="1800" w:hanging="1800"/>
      </w:pPr>
      <w:rPr>
        <w:rFonts w:ascii="Calibri" w:hAnsi="Calibri" w:cs="Calibri" w:hint="default"/>
        <w:color w:val="000000"/>
        <w:sz w:val="20"/>
      </w:rPr>
    </w:lvl>
    <w:lvl w:ilvl="7">
      <w:start w:val="1"/>
      <w:numFmt w:val="decimal"/>
      <w:lvlText w:val="%1.%2.%3.%4.%5.%6.%7.%8"/>
      <w:lvlJc w:val="left"/>
      <w:pPr>
        <w:ind w:left="2160" w:hanging="2160"/>
      </w:pPr>
      <w:rPr>
        <w:rFonts w:ascii="Calibri" w:hAnsi="Calibri" w:cs="Calibri" w:hint="default"/>
        <w:color w:val="000000"/>
        <w:sz w:val="20"/>
      </w:rPr>
    </w:lvl>
    <w:lvl w:ilvl="8">
      <w:start w:val="1"/>
      <w:numFmt w:val="decimal"/>
      <w:lvlText w:val="%1.%2.%3.%4.%5.%6.%7.%8.%9"/>
      <w:lvlJc w:val="left"/>
      <w:pPr>
        <w:ind w:left="2520" w:hanging="2520"/>
      </w:pPr>
      <w:rPr>
        <w:rFonts w:ascii="Calibri" w:hAnsi="Calibri" w:cs="Calibri" w:hint="default"/>
        <w:color w:val="000000"/>
        <w:sz w:val="20"/>
      </w:rPr>
    </w:lvl>
  </w:abstractNum>
  <w:num w:numId="1">
    <w:abstractNumId w:val="0"/>
  </w:num>
  <w:num w:numId="2">
    <w:abstractNumId w:val="5"/>
  </w:num>
  <w:num w:numId="3">
    <w:abstractNumId w:val="1"/>
  </w:num>
  <w:num w:numId="4">
    <w:abstractNumId w:val="6"/>
  </w:num>
  <w:num w:numId="5">
    <w:abstractNumId w:val="2"/>
  </w:num>
  <w:num w:numId="6">
    <w:abstractNumId w:val="14"/>
  </w:num>
  <w:num w:numId="7">
    <w:abstractNumId w:val="4"/>
  </w:num>
  <w:num w:numId="8">
    <w:abstractNumId w:val="10"/>
  </w:num>
  <w:num w:numId="9">
    <w:abstractNumId w:val="8"/>
  </w:num>
  <w:num w:numId="10">
    <w:abstractNumId w:val="9"/>
  </w:num>
  <w:num w:numId="11">
    <w:abstractNumId w:val="13"/>
  </w:num>
  <w:num w:numId="12">
    <w:abstractNumId w:val="7"/>
  </w:num>
  <w:num w:numId="13">
    <w:abstractNumId w:val="3"/>
  </w:num>
  <w:num w:numId="14">
    <w:abstractNumId w:val="15"/>
  </w:num>
  <w:num w:numId="15">
    <w:abstractNumId w:val="12"/>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1076"/>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1590"/>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1C35"/>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246"/>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D1BE4"/>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80628"/>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357DB"/>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144E9"/>
    <w:rsid w:val="00D161F9"/>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90373"/>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numbering" w:customStyle="1" w:styleId="Semlista1">
    <w:name w:val="Sem lista1"/>
    <w:basedOn w:val="Semlista"/>
    <w:rsid w:val="00F90373"/>
    <w:pPr>
      <w:numPr>
        <w:numId w:val="10"/>
      </w:numPr>
    </w:pPr>
  </w:style>
  <w:style w:type="numbering" w:customStyle="1" w:styleId="WWNum12">
    <w:name w:val="WWNum12"/>
    <w:basedOn w:val="Semlista"/>
    <w:rsid w:val="00F90373"/>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6157</Words>
  <Characters>33252</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roseane</cp:lastModifiedBy>
  <cp:revision>46</cp:revision>
  <cp:lastPrinted>2025-09-11T19:02:00Z</cp:lastPrinted>
  <dcterms:created xsi:type="dcterms:W3CDTF">2023-08-18T18:10:00Z</dcterms:created>
  <dcterms:modified xsi:type="dcterms:W3CDTF">2025-09-11T19:02:00Z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